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  <w:bookmarkStart w:id="0" w:name="_GoBack"/>
      <w:bookmarkEnd w:id="0"/>
      <w:r w:rsidRPr="00C71EDD">
        <w:rPr>
          <w:rFonts w:ascii="Arial" w:hAnsi="Arial" w:cs="Arial"/>
          <w:b/>
          <w:sz w:val="28"/>
          <w:szCs w:val="28"/>
        </w:rPr>
        <w:t>Il Total Quality Management della formazione</w:t>
      </w:r>
      <w:r w:rsidRPr="00C71EDD">
        <w:rPr>
          <w:rFonts w:ascii="Arial" w:hAnsi="Arial" w:cs="Arial"/>
          <w:b/>
          <w:sz w:val="28"/>
          <w:szCs w:val="28"/>
        </w:rPr>
        <w:fldChar w:fldCharType="begin"/>
      </w:r>
      <w:r w:rsidRPr="00C71EDD">
        <w:instrText xml:space="preserve"> XE "</w:instrText>
      </w:r>
      <w:r w:rsidRPr="00C71EDD">
        <w:rPr>
          <w:rFonts w:ascii="Arial" w:hAnsi="Arial" w:cs="Arial"/>
          <w:b/>
          <w:sz w:val="28"/>
          <w:szCs w:val="28"/>
        </w:rPr>
        <w:instrText>4. Il Total Quality Management della formazione</w:instrText>
      </w:r>
      <w:r w:rsidRPr="00C71EDD">
        <w:instrText xml:space="preserve">" </w:instrText>
      </w:r>
      <w:r w:rsidRPr="00C71EDD">
        <w:rPr>
          <w:rFonts w:ascii="Arial" w:hAnsi="Arial" w:cs="Arial"/>
          <w:b/>
          <w:sz w:val="28"/>
          <w:szCs w:val="28"/>
        </w:rPr>
        <w:fldChar w:fldCharType="end"/>
      </w:r>
      <w:r w:rsidRPr="00C71EDD">
        <w:rPr>
          <w:rFonts w:ascii="Arial" w:hAnsi="Arial" w:cs="Arial"/>
          <w:b/>
          <w:sz w:val="28"/>
          <w:szCs w:val="28"/>
        </w:rPr>
        <w:t xml:space="preserve"> </w:t>
      </w: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  <w:r w:rsidRPr="00C71EDD">
        <w:rPr>
          <w:rFonts w:ascii="Arial" w:hAnsi="Arial" w:cs="Arial"/>
          <w:b/>
        </w:rPr>
        <w:t>(a cura di Daniela Montagner)</w:t>
      </w: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La qualità non è la certificazione ISO o altra tipologia di </w:t>
      </w:r>
      <w:proofErr w:type="gramStart"/>
      <w:r w:rsidRPr="00C71EDD">
        <w:rPr>
          <w:iCs/>
          <w:sz w:val="22"/>
          <w:szCs w:val="22"/>
        </w:rPr>
        <w:t>certificazione</w:t>
      </w:r>
      <w:proofErr w:type="gramEnd"/>
      <w:r w:rsidRPr="00C71EDD">
        <w:rPr>
          <w:iCs/>
          <w:sz w:val="22"/>
          <w:szCs w:val="22"/>
        </w:rPr>
        <w:t>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La qualità è un processo integrato in azienda che tocca tutti i livelli di un’organizzazione, che una volta implementato dovrebbe essere </w:t>
      </w:r>
      <w:proofErr w:type="gramStart"/>
      <w:r w:rsidRPr="00C71EDD">
        <w:rPr>
          <w:iCs/>
          <w:sz w:val="22"/>
          <w:szCs w:val="22"/>
        </w:rPr>
        <w:t>uno</w:t>
      </w:r>
      <w:proofErr w:type="gramEnd"/>
      <w:r w:rsidRPr="00C71EDD">
        <w:rPr>
          <w:iCs/>
          <w:sz w:val="22"/>
          <w:szCs w:val="22"/>
        </w:rPr>
        <w:t xml:space="preserve"> modus operandi, che fa parte del processo di lavoro stesso, intrinseco alle persone.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L’evoluzione della qualità ha, infatti, visto molti passaggi, attraverso i processi di certificazione, al Total Quality Management, fino alla Lean Management.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In questa parte ci chiediamo perché certificare una società di formazione e qual è il significato di vivere un processo di qualità legato </w:t>
      </w:r>
      <w:proofErr w:type="gramStart"/>
      <w:r w:rsidRPr="00C71EDD">
        <w:rPr>
          <w:iCs/>
          <w:sz w:val="22"/>
          <w:szCs w:val="22"/>
        </w:rPr>
        <w:t>ad</w:t>
      </w:r>
      <w:proofErr w:type="gramEnd"/>
      <w:r w:rsidRPr="00C71EDD">
        <w:rPr>
          <w:iCs/>
          <w:sz w:val="22"/>
          <w:szCs w:val="22"/>
        </w:rPr>
        <w:t xml:space="preserve"> un progetto formativo. </w:t>
      </w: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C71EDD">
        <w:rPr>
          <w:rFonts w:ascii="Arial" w:hAnsi="Arial" w:cs="Arial"/>
          <w:b/>
        </w:rPr>
        <w:t>1. Perché Si e perché No certificare una società di formazione</w:t>
      </w:r>
      <w:r w:rsidRPr="00C71EDD">
        <w:rPr>
          <w:rFonts w:ascii="Arial" w:hAnsi="Arial" w:cs="Arial"/>
          <w:b/>
        </w:rPr>
        <w:fldChar w:fldCharType="begin"/>
      </w:r>
      <w:r w:rsidRPr="00C71EDD">
        <w:instrText xml:space="preserve"> XE "</w:instrText>
      </w:r>
      <w:r w:rsidRPr="00C71EDD">
        <w:rPr>
          <w:rFonts w:ascii="Arial" w:hAnsi="Arial" w:cs="Arial"/>
          <w:b/>
        </w:rPr>
        <w:instrText>1. Perché certificare una società di formazione</w:instrText>
      </w:r>
      <w:r w:rsidRPr="00C71EDD">
        <w:instrText xml:space="preserve">" </w:instrText>
      </w:r>
      <w:r w:rsidRPr="00C71EDD">
        <w:rPr>
          <w:rFonts w:ascii="Arial" w:hAnsi="Arial" w:cs="Arial"/>
          <w:b/>
        </w:rPr>
        <w:fldChar w:fldCharType="end"/>
      </w:r>
    </w:p>
    <w:p w:rsidR="00C71EDD" w:rsidRPr="00C71EDD" w:rsidRDefault="00C71EDD" w:rsidP="00C71EDD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Data l’importanza dell’argomento, ma anche la sua complessità, </w:t>
      </w:r>
      <w:proofErr w:type="gramStart"/>
      <w:r w:rsidRPr="00C71EDD">
        <w:rPr>
          <w:iCs/>
          <w:sz w:val="22"/>
          <w:szCs w:val="22"/>
        </w:rPr>
        <w:t>abbiamo</w:t>
      </w:r>
      <w:proofErr w:type="gramEnd"/>
      <w:r w:rsidRPr="00C71EDD">
        <w:rPr>
          <w:iCs/>
          <w:sz w:val="22"/>
          <w:szCs w:val="22"/>
        </w:rPr>
        <w:t xml:space="preserve"> cercato di raccontare i temi oggetto di questo paragrafo nel modo più leggero e scorrevole possibile, dando una visione d’insieme piuttosto che analitica sulla certificazione ISO.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Una dedica speciale va a chi ha già avuto a che fare con la certificazione</w:t>
      </w:r>
      <w:proofErr w:type="gramStart"/>
      <w:r w:rsidRPr="00C71EDD">
        <w:rPr>
          <w:iCs/>
          <w:sz w:val="22"/>
          <w:szCs w:val="22"/>
        </w:rPr>
        <w:t xml:space="preserve">    </w:t>
      </w:r>
      <w:proofErr w:type="gramEnd"/>
      <w:r w:rsidRPr="00C71EDD">
        <w:rPr>
          <w:iCs/>
          <w:sz w:val="22"/>
          <w:szCs w:val="22"/>
        </w:rPr>
        <w:t>Qualità e che, per questo, si divertirà a cogliere le nostre ironiche allusioni tra le righe. Per tutti gli altri lettori, è un buon punto di partenza per inquadrare il tema della certificazione Qualità.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La certificazione Qualità ISO 9001 per le società di formazione serve a mettere nero su bianco i processi interni all’azienda, allo scopo di migliorarne l’implementazione e di garantire un miglior servizio sia verso i clienti esterni sia verso i </w:t>
      </w:r>
      <w:proofErr w:type="gramStart"/>
      <w:r w:rsidRPr="00C71EDD">
        <w:rPr>
          <w:iCs/>
          <w:sz w:val="22"/>
          <w:szCs w:val="22"/>
        </w:rPr>
        <w:t>clienti</w:t>
      </w:r>
      <w:proofErr w:type="gramEnd"/>
      <w:r w:rsidRPr="00C71EDD">
        <w:rPr>
          <w:iCs/>
          <w:sz w:val="22"/>
          <w:szCs w:val="22"/>
        </w:rPr>
        <w:t xml:space="preserve"> interni (le persone che lavorano all’interno dell’azienda). Il sistema di processi così formalizzato permette a qualsiasi persona interna all’organizzazione di capire come si svolgono le attività, come </w:t>
      </w:r>
      <w:proofErr w:type="gramStart"/>
      <w:r w:rsidRPr="00C71EDD">
        <w:rPr>
          <w:iCs/>
          <w:sz w:val="22"/>
          <w:szCs w:val="22"/>
        </w:rPr>
        <w:t>vengono</w:t>
      </w:r>
      <w:proofErr w:type="gramEnd"/>
      <w:r w:rsidRPr="00C71EDD">
        <w:rPr>
          <w:iCs/>
          <w:sz w:val="22"/>
          <w:szCs w:val="22"/>
        </w:rPr>
        <w:t xml:space="preserve"> valutate le performance e quali sono le strategie macro che l’azienda persegue.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Tutto vero. Esiste, però un’altra faccia della medaglia: quella del “bollino blu”.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La maggior parte delle società di formazione che iniziano l’iter di certificazione </w:t>
      </w:r>
      <w:proofErr w:type="gramStart"/>
      <w:r w:rsidRPr="00C71EDD">
        <w:rPr>
          <w:iCs/>
          <w:sz w:val="22"/>
          <w:szCs w:val="22"/>
        </w:rPr>
        <w:t>hanno</w:t>
      </w:r>
      <w:proofErr w:type="gramEnd"/>
      <w:r w:rsidRPr="00C71EDD">
        <w:rPr>
          <w:iCs/>
          <w:sz w:val="22"/>
          <w:szCs w:val="22"/>
        </w:rPr>
        <w:t xml:space="preserve"> una concezione della Qualità limitata al bisogno di possedere “il bollino blu” per poter svolgere una serie di attività che lo richiedono come requisito.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Sia i Fondi interprofessionali sia i programmi comunitari richiedono la certificazione ISO 9001 (per il settore A37) alle società di formazione che vogliano partecipare </w:t>
      </w:r>
      <w:proofErr w:type="gramStart"/>
      <w:r w:rsidRPr="00C71EDD">
        <w:rPr>
          <w:iCs/>
          <w:sz w:val="22"/>
          <w:szCs w:val="22"/>
        </w:rPr>
        <w:t>in qualità di</w:t>
      </w:r>
      <w:proofErr w:type="gramEnd"/>
      <w:r w:rsidRPr="00C71EDD">
        <w:rPr>
          <w:iCs/>
          <w:sz w:val="22"/>
          <w:szCs w:val="22"/>
        </w:rPr>
        <w:t xml:space="preserve"> fornitori o di soggetti attuatori all’interno dei progetti formativi.  Il bollino blu </w:t>
      </w:r>
      <w:proofErr w:type="gramStart"/>
      <w:r w:rsidRPr="00C71EDD">
        <w:rPr>
          <w:iCs/>
          <w:sz w:val="22"/>
          <w:szCs w:val="22"/>
        </w:rPr>
        <w:t xml:space="preserve">della </w:t>
      </w:r>
      <w:proofErr w:type="gramEnd"/>
      <w:r w:rsidRPr="00C71EDD">
        <w:rPr>
          <w:iCs/>
          <w:sz w:val="22"/>
          <w:szCs w:val="22"/>
        </w:rPr>
        <w:t>ISO 9001 è un requisito indispensabile anche per richiedere l’accreditamento regionale come ente formativo… un ulteriore bollino blu!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Questa visione miope della Qualità genera a cascata una serie di </w:t>
      </w:r>
      <w:r w:rsidRPr="00C71EDD">
        <w:rPr>
          <w:i/>
          <w:iCs/>
          <w:sz w:val="22"/>
          <w:szCs w:val="22"/>
        </w:rPr>
        <w:t>obbrobri organizzativi</w:t>
      </w:r>
      <w:r w:rsidRPr="00C71EDD">
        <w:rPr>
          <w:iCs/>
          <w:sz w:val="22"/>
          <w:szCs w:val="22"/>
        </w:rPr>
        <w:t xml:space="preserve">: un manuale della Qualità che non rispecchia i processi reali, che </w:t>
      </w:r>
      <w:proofErr w:type="gramStart"/>
      <w:r w:rsidRPr="00C71EDD">
        <w:rPr>
          <w:iCs/>
          <w:sz w:val="22"/>
          <w:szCs w:val="22"/>
        </w:rPr>
        <w:t>utilizza</w:t>
      </w:r>
      <w:proofErr w:type="gramEnd"/>
      <w:r w:rsidRPr="00C71EDD">
        <w:rPr>
          <w:iCs/>
          <w:sz w:val="22"/>
          <w:szCs w:val="22"/>
        </w:rPr>
        <w:t xml:space="preserve"> un linguaggio ostico e di difficile comprensione, delle procedure che rimarranno chiuse nel sacro cassetto della Qualità e che non sono mai state condivise con le persone che se ne occupano realmente tutti i giorni.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In questo modo, il risultato finale sarà un sistema Qualità scritto secondo i criteri di certificazione, ma mai letto o condiviso con le persone. Come dire: l’operazione è perfettamente riuscita, ma il paziente è morto.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lastRenderedPageBreak/>
        <w:t xml:space="preserve">   In buona sostanza, la logica del bollino blu dimentica l’elemento essenziale del lavoro sui processi e sulla Qualità, cioè </w:t>
      </w:r>
      <w:r w:rsidRPr="00C71EDD">
        <w:rPr>
          <w:i/>
          <w:iCs/>
          <w:sz w:val="22"/>
          <w:szCs w:val="22"/>
        </w:rPr>
        <w:t>le persone</w:t>
      </w:r>
      <w:r w:rsidRPr="00C71EDD">
        <w:rPr>
          <w:iCs/>
          <w:sz w:val="22"/>
          <w:szCs w:val="22"/>
        </w:rPr>
        <w:t xml:space="preserve">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Va da sé che un Sistema Qualità da bollino blu non potrà mai essere integrato nella prassi lavorativa e </w:t>
      </w:r>
      <w:proofErr w:type="gramStart"/>
      <w:r w:rsidRPr="00C71EDD">
        <w:rPr>
          <w:iCs/>
          <w:sz w:val="22"/>
          <w:szCs w:val="22"/>
        </w:rPr>
        <w:t>verrà</w:t>
      </w:r>
      <w:proofErr w:type="gramEnd"/>
      <w:r w:rsidRPr="00C71EDD">
        <w:rPr>
          <w:iCs/>
          <w:sz w:val="22"/>
          <w:szCs w:val="22"/>
        </w:rPr>
        <w:t xml:space="preserve"> sempre vissuto come uno scomodo intruso, un obbligo formale accessorio. 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Al contrario, cosa caratterizza un Sistema Qualità realmente funzionale?   Qual è l’ingrediente segreto? A nostro parere, l’ingrediente segreto è qualcosa che, comunemente, non </w:t>
      </w:r>
      <w:proofErr w:type="gramStart"/>
      <w:r w:rsidRPr="00C71EDD">
        <w:rPr>
          <w:iCs/>
          <w:sz w:val="22"/>
          <w:szCs w:val="22"/>
        </w:rPr>
        <w:t>viene</w:t>
      </w:r>
      <w:proofErr w:type="gramEnd"/>
      <w:r w:rsidRPr="00C71EDD">
        <w:rPr>
          <w:iCs/>
          <w:sz w:val="22"/>
          <w:szCs w:val="22"/>
        </w:rPr>
        <w:t xml:space="preserve"> associato al mondo della Qualità: </w:t>
      </w:r>
      <w:r w:rsidRPr="00C71EDD">
        <w:rPr>
          <w:i/>
          <w:iCs/>
          <w:sz w:val="22"/>
          <w:szCs w:val="22"/>
        </w:rPr>
        <w:t>la comunicazione</w:t>
      </w:r>
      <w:r w:rsidRPr="00C71EDD">
        <w:rPr>
          <w:iCs/>
          <w:sz w:val="22"/>
          <w:szCs w:val="22"/>
        </w:rPr>
        <w:t>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Ecco sfatato un mito: Qualità e comunicazione non sono un ossimoro!  Devono convivere e alimentarsi a vicenda </w:t>
      </w:r>
      <w:proofErr w:type="gramStart"/>
      <w:r w:rsidRPr="00C71EDD">
        <w:rPr>
          <w:iCs/>
          <w:sz w:val="22"/>
          <w:szCs w:val="22"/>
        </w:rPr>
        <w:t>per poter</w:t>
      </w:r>
      <w:proofErr w:type="gramEnd"/>
      <w:r w:rsidRPr="00C71EDD">
        <w:rPr>
          <w:iCs/>
          <w:sz w:val="22"/>
          <w:szCs w:val="22"/>
        </w:rPr>
        <w:t xml:space="preserve"> sopravvivere.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Un buon Sistema Qualità: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pStyle w:val="Paragrafoelenco1"/>
        <w:numPr>
          <w:ilvl w:val="0"/>
          <w:numId w:val="4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E’ costruito dal basso, assieme alle persone che tutti i giorni svolgono delle attività e producono dei risultati;</w:t>
      </w:r>
    </w:p>
    <w:p w:rsidR="00C71EDD" w:rsidRPr="00C71EDD" w:rsidRDefault="00C71EDD" w:rsidP="00C71EDD">
      <w:pPr>
        <w:pStyle w:val="Paragrafoelenco1"/>
        <w:numPr>
          <w:ilvl w:val="0"/>
          <w:numId w:val="4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E’ comunicato alle persone e condiviso con esse, in modo che tutti si sentano coinvolti;</w:t>
      </w:r>
    </w:p>
    <w:p w:rsidR="00C71EDD" w:rsidRPr="00C71EDD" w:rsidRDefault="00C71EDD" w:rsidP="00C71EDD">
      <w:pPr>
        <w:pStyle w:val="Paragrafoelenco1"/>
        <w:numPr>
          <w:ilvl w:val="0"/>
          <w:numId w:val="4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E’ un sistema aperto ad accogliere i contributi migliorativi di tutti.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Soprattutto per le realtà che operano nei Servizi, dove l’elemento di successo è dato dalle persone, la sfida non risiede tanto nel disegno di processi e procedure formalmente impeccabili, quanto nella comunicazione e nel coinvolgimento di tutte le persone. 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ind w:firstLine="180"/>
        <w:jc w:val="right"/>
        <w:rPr>
          <w:i/>
          <w:iCs/>
          <w:sz w:val="22"/>
          <w:szCs w:val="22"/>
        </w:rPr>
      </w:pPr>
      <w:r w:rsidRPr="00C71EDD">
        <w:rPr>
          <w:i/>
          <w:iCs/>
          <w:sz w:val="22"/>
          <w:szCs w:val="22"/>
        </w:rPr>
        <w:t>In principio fu… la visione strategica.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A questo punto, la domanda è: </w:t>
      </w:r>
      <w:proofErr w:type="gramStart"/>
      <w:r w:rsidRPr="00C71EDD">
        <w:rPr>
          <w:iCs/>
          <w:sz w:val="22"/>
          <w:szCs w:val="22"/>
        </w:rPr>
        <w:t>al di là del</w:t>
      </w:r>
      <w:proofErr w:type="gramEnd"/>
      <w:r w:rsidRPr="00C71EDD">
        <w:rPr>
          <w:iCs/>
          <w:sz w:val="22"/>
          <w:szCs w:val="22"/>
        </w:rPr>
        <w:t xml:space="preserve"> “bollino blu”, la certificazione Qualità porta un reale beneficio per l’azienda che la fa?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A nostro avviso, la risposta è: sì, nella misura in cui </w:t>
      </w:r>
      <w:proofErr w:type="gramStart"/>
      <w:r w:rsidRPr="00C71EDD">
        <w:rPr>
          <w:iCs/>
          <w:sz w:val="22"/>
          <w:szCs w:val="22"/>
        </w:rPr>
        <w:t>viene</w:t>
      </w:r>
      <w:proofErr w:type="gramEnd"/>
      <w:r w:rsidRPr="00C71EDD">
        <w:rPr>
          <w:iCs/>
          <w:sz w:val="22"/>
          <w:szCs w:val="22"/>
        </w:rPr>
        <w:t xml:space="preserve"> colta come l’occasione per organizzare, semplificare e pianificare lo sviluppo. In quest’ottica, il Sistema Qualità diventa automaticamente il riflesso operativo della strategia di business aziendale. </w:t>
      </w:r>
      <w:r w:rsidRPr="00C71EDD">
        <w:rPr>
          <w:i/>
          <w:iCs/>
          <w:sz w:val="22"/>
          <w:szCs w:val="22"/>
        </w:rPr>
        <w:t>Sotto</w:t>
      </w:r>
      <w:r w:rsidRPr="00C71EDD">
        <w:rPr>
          <w:iCs/>
          <w:sz w:val="22"/>
          <w:szCs w:val="22"/>
        </w:rPr>
        <w:t xml:space="preserve"> il cappello della strategia di sviluppo, rientra anche l’opportunità di accedere al mondo dei finanziamenti per la formazione, che vale da sola l’investimento di tempo e denaro profuso nella certificazione.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Se osservato dal punto di vista della strategia, il mondo della Qualità diventa veicolo della gestione </w:t>
      </w:r>
      <w:proofErr w:type="gramStart"/>
      <w:r w:rsidRPr="00C71EDD">
        <w:rPr>
          <w:iCs/>
          <w:sz w:val="22"/>
          <w:szCs w:val="22"/>
        </w:rPr>
        <w:t>manageriale</w:t>
      </w:r>
      <w:proofErr w:type="gramEnd"/>
      <w:r w:rsidRPr="00C71EDD">
        <w:rPr>
          <w:iCs/>
          <w:sz w:val="22"/>
          <w:szCs w:val="22"/>
        </w:rPr>
        <w:t xml:space="preserve"> dei servizi. Ci riferiamo a qualcosa di più delle semplici </w:t>
      </w:r>
      <w:r w:rsidRPr="00C71EDD">
        <w:rPr>
          <w:i/>
          <w:iCs/>
          <w:sz w:val="22"/>
          <w:szCs w:val="22"/>
        </w:rPr>
        <w:t>check list</w:t>
      </w:r>
      <w:r w:rsidRPr="00C71EDD">
        <w:rPr>
          <w:iCs/>
          <w:sz w:val="22"/>
          <w:szCs w:val="22"/>
        </w:rPr>
        <w:t xml:space="preserve"> o dei mansionari. Stiamo parlando, infatti, dell’integrazione con sistemi di </w:t>
      </w:r>
      <w:proofErr w:type="gramStart"/>
      <w:r w:rsidRPr="00C71EDD">
        <w:rPr>
          <w:iCs/>
          <w:sz w:val="22"/>
          <w:szCs w:val="22"/>
        </w:rPr>
        <w:t>pianificazione e monitoraggio avanzati, quali</w:t>
      </w:r>
      <w:proofErr w:type="gramEnd"/>
      <w:r w:rsidRPr="00C71EDD">
        <w:rPr>
          <w:iCs/>
          <w:sz w:val="22"/>
          <w:szCs w:val="22"/>
        </w:rPr>
        <w:t>: il project management, la mappatura di competenze, il CRM (</w:t>
      </w:r>
      <w:r w:rsidRPr="00C71EDD">
        <w:rPr>
          <w:i/>
          <w:iCs/>
          <w:sz w:val="22"/>
          <w:szCs w:val="22"/>
        </w:rPr>
        <w:t>Customer Relationship Management</w:t>
      </w:r>
      <w:r w:rsidRPr="00C71EDD">
        <w:rPr>
          <w:iCs/>
          <w:sz w:val="22"/>
          <w:szCs w:val="22"/>
        </w:rPr>
        <w:t>), la definizione dei KPI (</w:t>
      </w:r>
      <w:r w:rsidRPr="00C71EDD">
        <w:rPr>
          <w:i/>
          <w:iCs/>
          <w:sz w:val="22"/>
          <w:szCs w:val="22"/>
        </w:rPr>
        <w:t>Key Performance Index</w:t>
      </w:r>
      <w:r w:rsidRPr="00C71EDD">
        <w:rPr>
          <w:iCs/>
          <w:sz w:val="22"/>
          <w:szCs w:val="22"/>
        </w:rPr>
        <w:t xml:space="preserve">), la </w:t>
      </w:r>
      <w:r w:rsidRPr="00C71EDD">
        <w:rPr>
          <w:i/>
          <w:iCs/>
          <w:sz w:val="22"/>
          <w:szCs w:val="22"/>
        </w:rPr>
        <w:t>Balanced Scorecard</w:t>
      </w:r>
      <w:r w:rsidRPr="00C71EDD">
        <w:rPr>
          <w:iCs/>
          <w:sz w:val="22"/>
          <w:szCs w:val="22"/>
        </w:rPr>
        <w:t xml:space="preserve">.  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Facciamo un esempio semplice.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Uno dei capitoli più importanti del Sistema Qualità è l’approvvigionamento dei fornitori. In una società di formazione, i fornitori di beni e servizi possono essere: le copisterie e legatorie, gli </w:t>
      </w:r>
      <w:proofErr w:type="gramStart"/>
      <w:r w:rsidRPr="00C71EDD">
        <w:rPr>
          <w:iCs/>
          <w:sz w:val="22"/>
          <w:szCs w:val="22"/>
        </w:rPr>
        <w:t>alberghi,</w:t>
      </w:r>
      <w:proofErr w:type="gramEnd"/>
      <w:r w:rsidRPr="00C71EDD">
        <w:rPr>
          <w:iCs/>
          <w:sz w:val="22"/>
          <w:szCs w:val="22"/>
        </w:rPr>
        <w:t xml:space="preserve"> i produttori di gadgettistica, i catering, i formatori e i consulenti.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Soffermiamoci sui formatori d’aula. Da essi dipende la qualità del servizio erogato e percepito dal cliente. Tra tutti i fornitori, le persone che ricoprono il ruolo di formatore hanno un’importanza strategica notevole perché impattano direttamente sul </w:t>
      </w:r>
      <w:r w:rsidRPr="00C71EDD">
        <w:rPr>
          <w:i/>
          <w:iCs/>
          <w:sz w:val="22"/>
          <w:szCs w:val="22"/>
        </w:rPr>
        <w:t xml:space="preserve">core business </w:t>
      </w:r>
      <w:r w:rsidRPr="00C71EDD">
        <w:rPr>
          <w:iCs/>
          <w:sz w:val="22"/>
          <w:szCs w:val="22"/>
        </w:rPr>
        <w:t xml:space="preserve">di una società di formazione.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Il successo dei servizi erogati dipende in larga misura dalla selezione dei formatori e dal monitoraggio delle loro performance. In questo senso, il Sistema Qualità fornisce i metodi e gli strumenti per selezionare e monitorare i formatori coerentemente con le linee guida strategiche.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Ad esempio, poniamo il caso che uno degli assi strategici per la nostra azienda sia “collaborare con </w:t>
      </w:r>
      <w:proofErr w:type="gramStart"/>
      <w:r w:rsidRPr="00C71EDD">
        <w:rPr>
          <w:iCs/>
          <w:sz w:val="22"/>
          <w:szCs w:val="22"/>
        </w:rPr>
        <w:t>formatori senior altamente qualificati</w:t>
      </w:r>
      <w:proofErr w:type="gramEnd"/>
      <w:r w:rsidRPr="00C71EDD">
        <w:rPr>
          <w:iCs/>
          <w:sz w:val="22"/>
          <w:szCs w:val="22"/>
        </w:rPr>
        <w:t xml:space="preserve"> per garantire la massima soddisfazione del cliente”. Il Sistema Qualità dovrà definire: il profilo-tipo del formatore (esperienza, titoli di studio, specializzazioni, ecc.), le competenze che deve possedere, in che modo è gestita la collaborazione con la nostra società, cosa </w:t>
      </w:r>
      <w:proofErr w:type="gramStart"/>
      <w:r w:rsidRPr="00C71EDD">
        <w:rPr>
          <w:iCs/>
          <w:sz w:val="22"/>
          <w:szCs w:val="22"/>
        </w:rPr>
        <w:t xml:space="preserve">si </w:t>
      </w:r>
      <w:proofErr w:type="gramEnd"/>
      <w:r w:rsidRPr="00C71EDD">
        <w:rPr>
          <w:iCs/>
          <w:sz w:val="22"/>
          <w:szCs w:val="22"/>
        </w:rPr>
        <w:t>intende per “massima soddisfazione” del cliente (come viene misurata la soddisfazione, quali sono i parametri di valutazione massimi e minimi, qual è il risultato minimo al di sotto del quale il fornitore viene escluso).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Nel Sistema Qualità avanzato, troveremo le linee guida, i processi, le procedure, gli strumenti (schede, questionari, ecc.) che guidano e supportano il lavoro della persona incaricata della selezione e del monitoraggio dei formatori. Ovviamente, nel Sistema Qualità avanzato, tutto ciò deriva direttamente dalla visione strategica e sarà coerente con essa.</w:t>
      </w:r>
    </w:p>
    <w:p w:rsidR="00C71EDD" w:rsidRPr="00C71EDD" w:rsidRDefault="00C71EDD" w:rsidP="00C71EDD">
      <w:pPr>
        <w:spacing w:line="260" w:lineRule="exact"/>
        <w:ind w:firstLine="180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Il Sistema Qualità concepito e gestito in funzione dello sviluppo dell’azienda, serve per: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</w:t>
      </w:r>
      <w:proofErr w:type="gramStart"/>
      <w:r w:rsidRPr="00C71EDD">
        <w:rPr>
          <w:iCs/>
          <w:sz w:val="22"/>
          <w:szCs w:val="22"/>
        </w:rPr>
        <w:t>Definire i Key Performance Index (KPI), cioè i parametri chiave di valutazione della performance aziendale;</w:t>
      </w:r>
      <w:proofErr w:type="gramEnd"/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Mappare i processi </w:t>
      </w:r>
      <w:proofErr w:type="gramStart"/>
      <w:r w:rsidRPr="00C71EDD">
        <w:rPr>
          <w:iCs/>
          <w:sz w:val="22"/>
          <w:szCs w:val="22"/>
        </w:rPr>
        <w:t>delle attività chiave</w:t>
      </w:r>
      <w:proofErr w:type="gramEnd"/>
      <w:r w:rsidRPr="00C71EDD">
        <w:rPr>
          <w:iCs/>
          <w:sz w:val="22"/>
          <w:szCs w:val="22"/>
        </w:rPr>
        <w:t>, ovvero:</w:t>
      </w:r>
    </w:p>
    <w:p w:rsidR="00C71EDD" w:rsidRPr="00C71EDD" w:rsidRDefault="00C71EDD" w:rsidP="00C71EDD">
      <w:pPr>
        <w:pStyle w:val="Paragrafoelenco1"/>
        <w:numPr>
          <w:ilvl w:val="1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Definire quali sono le attività importanti e a quali risultati tendono;</w:t>
      </w:r>
    </w:p>
    <w:p w:rsidR="00C71EDD" w:rsidRPr="00C71EDD" w:rsidRDefault="00C71EDD" w:rsidP="00C71EDD">
      <w:pPr>
        <w:pStyle w:val="Paragrafoelenco1"/>
        <w:numPr>
          <w:ilvl w:val="1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Definire chi svolge quelle attività per chi altro (gli attori);</w:t>
      </w: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Fornire metodi e strumenti di lavoro;</w:t>
      </w: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Facilitare la comunicazione tra le persone coinvolte nelle attività: a tutte è chiaro chi si occupa di che cosa;</w:t>
      </w: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Semplificare le attività complesse, chiarire i passaggi e le responsabilità;</w:t>
      </w: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Misurare la performance, l’output, il livello qualitativo dei servizi erogati;</w:t>
      </w: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Pianificare lo sviluppo delle persone;</w:t>
      </w:r>
    </w:p>
    <w:p w:rsidR="00C71EDD" w:rsidRPr="00C71EDD" w:rsidRDefault="00C71EDD" w:rsidP="00C71EDD">
      <w:pPr>
        <w:pStyle w:val="Paragrafoelenco1"/>
        <w:numPr>
          <w:ilvl w:val="0"/>
          <w:numId w:val="1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</w:t>
      </w:r>
      <w:proofErr w:type="gramStart"/>
      <w:r w:rsidRPr="00C71EDD">
        <w:rPr>
          <w:iCs/>
          <w:sz w:val="22"/>
          <w:szCs w:val="22"/>
        </w:rPr>
        <w:t>Migliorare il Sistema Qualità per rendere il modus operandi ancora più efficiente.</w:t>
      </w:r>
      <w:proofErr w:type="gramEnd"/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Ora che abbiamo capito </w:t>
      </w:r>
      <w:r w:rsidRPr="00C71EDD">
        <w:rPr>
          <w:i/>
          <w:iCs/>
          <w:sz w:val="22"/>
          <w:szCs w:val="22"/>
        </w:rPr>
        <w:t>a cosa</w:t>
      </w:r>
      <w:r w:rsidRPr="00C71EDD">
        <w:rPr>
          <w:iCs/>
          <w:sz w:val="22"/>
          <w:szCs w:val="22"/>
        </w:rPr>
        <w:t xml:space="preserve"> serve, vediamo </w:t>
      </w:r>
      <w:r w:rsidRPr="00C71EDD">
        <w:rPr>
          <w:i/>
          <w:iCs/>
          <w:sz w:val="22"/>
          <w:szCs w:val="22"/>
        </w:rPr>
        <w:t>a chi</w:t>
      </w:r>
      <w:r w:rsidRPr="00C71EDD">
        <w:rPr>
          <w:iCs/>
          <w:sz w:val="22"/>
          <w:szCs w:val="22"/>
        </w:rPr>
        <w:t xml:space="preserve"> serve.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In una società di formazione, gli attori sono sostanzialmente </w:t>
      </w:r>
      <w:proofErr w:type="gramStart"/>
      <w:r w:rsidRPr="00C71EDD">
        <w:rPr>
          <w:iCs/>
          <w:sz w:val="22"/>
          <w:szCs w:val="22"/>
        </w:rPr>
        <w:t>4</w:t>
      </w:r>
      <w:proofErr w:type="gramEnd"/>
      <w:r w:rsidRPr="00C71EDD">
        <w:rPr>
          <w:iCs/>
          <w:sz w:val="22"/>
          <w:szCs w:val="22"/>
        </w:rPr>
        <w:t>: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pStyle w:val="Paragrafoelenco1"/>
        <w:numPr>
          <w:ilvl w:val="0"/>
          <w:numId w:val="2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Il presidente/L’amministratore delegato/L’imprenditore titolare (il vertice massimo);</w:t>
      </w:r>
    </w:p>
    <w:p w:rsidR="00C71EDD" w:rsidRPr="00C71EDD" w:rsidRDefault="00C71EDD" w:rsidP="00C71EDD">
      <w:pPr>
        <w:pStyle w:val="Paragrafoelenco1"/>
        <w:numPr>
          <w:ilvl w:val="0"/>
          <w:numId w:val="2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Il personale interno;</w:t>
      </w:r>
    </w:p>
    <w:p w:rsidR="00C71EDD" w:rsidRPr="00C71EDD" w:rsidRDefault="00C71EDD" w:rsidP="00C71EDD">
      <w:pPr>
        <w:pStyle w:val="Paragrafoelenco1"/>
        <w:numPr>
          <w:ilvl w:val="0"/>
          <w:numId w:val="2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I fornitori;</w:t>
      </w:r>
    </w:p>
    <w:p w:rsidR="00C71EDD" w:rsidRPr="00C71EDD" w:rsidRDefault="00C71EDD" w:rsidP="00C71EDD">
      <w:pPr>
        <w:pStyle w:val="Paragrafoelenco1"/>
        <w:numPr>
          <w:ilvl w:val="0"/>
          <w:numId w:val="2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>Il cliente esterno.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</w:t>
      </w:r>
      <w:proofErr w:type="gramStart"/>
      <w:r w:rsidRPr="00C71EDD">
        <w:rPr>
          <w:iCs/>
          <w:sz w:val="22"/>
          <w:szCs w:val="22"/>
        </w:rPr>
        <w:t>In relazione a</w:t>
      </w:r>
      <w:proofErr w:type="gramEnd"/>
      <w:r w:rsidRPr="00C71EDD">
        <w:rPr>
          <w:iCs/>
          <w:sz w:val="22"/>
          <w:szCs w:val="22"/>
        </w:rPr>
        <w:t xml:space="preserve"> ciascuno dei 4 attori, il Sistema Qualità assume una funzione e ha un valore differente.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Per l’AD (o chiunque </w:t>
      </w:r>
      <w:proofErr w:type="gramStart"/>
      <w:r w:rsidRPr="00C71EDD">
        <w:rPr>
          <w:iCs/>
          <w:sz w:val="22"/>
          <w:szCs w:val="22"/>
        </w:rPr>
        <w:t>rappresenti</w:t>
      </w:r>
      <w:proofErr w:type="gramEnd"/>
      <w:r w:rsidRPr="00C71EDD">
        <w:rPr>
          <w:iCs/>
          <w:sz w:val="22"/>
          <w:szCs w:val="22"/>
        </w:rPr>
        <w:t xml:space="preserve"> il vertice massimo dell’azienda) il Sistema Qualità serve a sapere in ogni momento cosa stanno facendo le proprie risorse, da che cosa dipendono i risultati di </w:t>
      </w:r>
      <w:r w:rsidRPr="00C71EDD">
        <w:rPr>
          <w:i/>
          <w:iCs/>
          <w:sz w:val="22"/>
          <w:szCs w:val="22"/>
        </w:rPr>
        <w:t>performance</w:t>
      </w:r>
      <w:r w:rsidRPr="00C71EDD">
        <w:rPr>
          <w:iCs/>
          <w:sz w:val="22"/>
          <w:szCs w:val="22"/>
        </w:rPr>
        <w:t xml:space="preserve">, dove intervenire (in termini di processi o di formazione alle risorse).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Per il personale interno il Sistema Qualità serve a sapere come gestire (modi, tempi, persone e risorse) le attività di propria competenza, a chi rivolgersi per altre attività, quali sono i risultati attesi. 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Per i fornitori il Sistema Qualità serve a sapere i risultati che l’azienda si aspetta dal servizio erogato o dal bene fornito.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Per il cliente esterno il Sistema Qualità serve </w:t>
      </w:r>
      <w:proofErr w:type="gramStart"/>
      <w:r w:rsidRPr="00C71EDD">
        <w:rPr>
          <w:iCs/>
          <w:sz w:val="22"/>
          <w:szCs w:val="22"/>
        </w:rPr>
        <w:t>ad</w:t>
      </w:r>
      <w:proofErr w:type="gramEnd"/>
      <w:r w:rsidRPr="00C71EDD">
        <w:rPr>
          <w:iCs/>
          <w:sz w:val="22"/>
          <w:szCs w:val="22"/>
        </w:rPr>
        <w:t xml:space="preserve"> ottenere un servizio che rispecchia le proprie aspettative ed esigenze.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Insomma, il Sistema Qualità visto da questa prospettiva assume un enorme valore. Il beneficio in termini di risparmio di risorse ed energie e di miglioramento dell’efficienza globale è evidente.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In conclusione, le prossime frontiere evolutive della Qualità sono due: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pStyle w:val="Paragrafoelenco1"/>
        <w:numPr>
          <w:ilvl w:val="0"/>
          <w:numId w:val="3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L’integrazione della parte comunicativa verso i clienti esterni </w:t>
      </w:r>
      <w:proofErr w:type="gramStart"/>
      <w:r w:rsidRPr="00C71EDD">
        <w:rPr>
          <w:iCs/>
          <w:sz w:val="22"/>
          <w:szCs w:val="22"/>
        </w:rPr>
        <w:t>ed</w:t>
      </w:r>
      <w:proofErr w:type="gramEnd"/>
      <w:r w:rsidRPr="00C71EDD">
        <w:rPr>
          <w:iCs/>
          <w:sz w:val="22"/>
          <w:szCs w:val="22"/>
        </w:rPr>
        <w:t xml:space="preserve"> interni;</w:t>
      </w:r>
    </w:p>
    <w:p w:rsidR="00C71EDD" w:rsidRPr="00C71EDD" w:rsidRDefault="00C71EDD" w:rsidP="00C71EDD">
      <w:pPr>
        <w:pStyle w:val="Paragrafoelenco1"/>
        <w:numPr>
          <w:ilvl w:val="0"/>
          <w:numId w:val="3"/>
        </w:numPr>
        <w:suppressAutoHyphens w:val="0"/>
        <w:spacing w:line="260" w:lineRule="exact"/>
        <w:contextualSpacing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L’adattamento degli schemi tradizionali della Qualità al mondo </w:t>
      </w:r>
      <w:proofErr w:type="gramStart"/>
      <w:r w:rsidRPr="00C71EDD">
        <w:rPr>
          <w:iCs/>
          <w:sz w:val="22"/>
          <w:szCs w:val="22"/>
        </w:rPr>
        <w:t>dei</w:t>
      </w:r>
      <w:proofErr w:type="gramEnd"/>
      <w:r w:rsidRPr="00C71EDD">
        <w:rPr>
          <w:iCs/>
          <w:sz w:val="22"/>
          <w:szCs w:val="22"/>
        </w:rPr>
        <w:t xml:space="preserve"> servizi, dove l’oggetto della misurazione è spesso un fattore impalpabile (le competenze delle persone, la soddisfazione del cliente, il feedback dei collaboratori, eccetera).</w:t>
      </w: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</w:p>
    <w:p w:rsidR="00C71EDD" w:rsidRPr="00C71EDD" w:rsidRDefault="00C71EDD" w:rsidP="00C71EDD">
      <w:pPr>
        <w:spacing w:line="260" w:lineRule="exact"/>
        <w:jc w:val="both"/>
        <w:rPr>
          <w:iCs/>
          <w:sz w:val="22"/>
          <w:szCs w:val="22"/>
        </w:rPr>
      </w:pPr>
      <w:r w:rsidRPr="00C71EDD">
        <w:rPr>
          <w:iCs/>
          <w:sz w:val="22"/>
          <w:szCs w:val="22"/>
        </w:rPr>
        <w:t xml:space="preserve">   Da un punto di vista sistemico e strategico, il Sistema Qualità diventa indispensabile per capire, intervenire, sviluppare.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4595B"/>
    <w:multiLevelType w:val="hybridMultilevel"/>
    <w:tmpl w:val="7DF2428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D616CD"/>
    <w:multiLevelType w:val="hybridMultilevel"/>
    <w:tmpl w:val="C138F21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0BD16D1"/>
    <w:multiLevelType w:val="hybridMultilevel"/>
    <w:tmpl w:val="F45AD9C0"/>
    <w:lvl w:ilvl="0" w:tplc="0410000F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72B604C4"/>
    <w:multiLevelType w:val="hybridMultilevel"/>
    <w:tmpl w:val="290C27EE"/>
    <w:lvl w:ilvl="0" w:tplc="541288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EDD"/>
    <w:rsid w:val="007E2BA9"/>
    <w:rsid w:val="00C7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EDD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C71EDD"/>
    <w:pPr>
      <w:suppressAutoHyphens/>
    </w:pPr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71EDD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C71EDD"/>
    <w:pPr>
      <w:suppressAutoHyphens/>
    </w:pPr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1543</Words>
  <Characters>8801</Characters>
  <Application>Microsoft Macintosh Word</Application>
  <DocSecurity>0</DocSecurity>
  <Lines>73</Lines>
  <Paragraphs>20</Paragraphs>
  <ScaleCrop>false</ScaleCrop>
  <Company/>
  <LinksUpToDate>false</LinksUpToDate>
  <CharactersWithSpaces>10324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2015-10-29T09:12:00Z</dcterms:created>
  <dcterms:modified xsi:type="dcterms:W3CDTF">2015-10-29T09:12:00Z</dcterms:modified>
</cp:coreProperties>
</file>