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CA0" w:rsidRDefault="003E2CA0" w:rsidP="003E2CA0">
      <w:pPr>
        <w:tabs>
          <w:tab w:val="num" w:pos="180"/>
        </w:tabs>
        <w:rPr>
          <w:rFonts w:ascii="Arial" w:hAnsi="Arial" w:cs="Arial"/>
          <w:b/>
          <w:i/>
        </w:rPr>
      </w:pPr>
      <w:r>
        <w:rPr>
          <w:rFonts w:ascii="Arial" w:hAnsi="Arial" w:cs="Arial"/>
          <w:b/>
          <w:i/>
        </w:rPr>
        <w:t>I programmi e le iniziative europee</w:t>
      </w:r>
    </w:p>
    <w:p w:rsidR="003E2CA0" w:rsidRDefault="003E2CA0" w:rsidP="003E2CA0">
      <w:pPr>
        <w:tabs>
          <w:tab w:val="num" w:pos="180"/>
        </w:tabs>
        <w:rPr>
          <w:rFonts w:ascii="Arial" w:hAnsi="Arial" w:cs="Arial"/>
          <w:b/>
          <w:i/>
        </w:rPr>
      </w:pPr>
    </w:p>
    <w:p w:rsidR="003E2CA0" w:rsidRPr="00884A7B" w:rsidRDefault="003E2CA0" w:rsidP="003E2CA0">
      <w:pPr>
        <w:tabs>
          <w:tab w:val="num" w:pos="180"/>
        </w:tabs>
        <w:spacing w:line="260" w:lineRule="exact"/>
        <w:jc w:val="both"/>
        <w:rPr>
          <w:sz w:val="22"/>
          <w:szCs w:val="22"/>
        </w:rPr>
      </w:pPr>
      <w:r>
        <w:rPr>
          <w:sz w:val="22"/>
          <w:szCs w:val="22"/>
        </w:rPr>
        <w:t xml:space="preserve">    </w:t>
      </w:r>
      <w:r w:rsidRPr="00884A7B">
        <w:rPr>
          <w:sz w:val="22"/>
          <w:szCs w:val="22"/>
        </w:rPr>
        <w:t>Un progetto è una serie di determinate azioni con</w:t>
      </w:r>
      <w:r>
        <w:rPr>
          <w:sz w:val="22"/>
          <w:szCs w:val="22"/>
        </w:rPr>
        <w:t xml:space="preserve"> obiettivi chiari, </w:t>
      </w:r>
      <w:r w:rsidRPr="00884A7B">
        <w:rPr>
          <w:sz w:val="22"/>
          <w:szCs w:val="22"/>
        </w:rPr>
        <w:t>specificati in un periodo definito e con un budget</w:t>
      </w:r>
      <w:r>
        <w:rPr>
          <w:sz w:val="22"/>
          <w:szCs w:val="22"/>
        </w:rPr>
        <w:t xml:space="preserve"> stabilito</w:t>
      </w:r>
      <w:r w:rsidRPr="00884A7B">
        <w:rPr>
          <w:sz w:val="22"/>
          <w:szCs w:val="22"/>
        </w:rPr>
        <w:t>.</w:t>
      </w:r>
    </w:p>
    <w:p w:rsidR="003E2CA0" w:rsidRDefault="003E2CA0" w:rsidP="003E2CA0">
      <w:pPr>
        <w:tabs>
          <w:tab w:val="num" w:pos="180"/>
        </w:tabs>
        <w:spacing w:line="260" w:lineRule="exact"/>
        <w:jc w:val="both"/>
        <w:rPr>
          <w:sz w:val="22"/>
          <w:szCs w:val="22"/>
        </w:rPr>
      </w:pPr>
      <w:r>
        <w:rPr>
          <w:sz w:val="22"/>
          <w:szCs w:val="22"/>
        </w:rPr>
        <w:t xml:space="preserve">   </w:t>
      </w:r>
      <w:r w:rsidRPr="00884A7B">
        <w:rPr>
          <w:sz w:val="22"/>
          <w:szCs w:val="22"/>
        </w:rPr>
        <w:t>Un progetto dovrebbe anche avere</w:t>
      </w:r>
      <w:r>
        <w:rPr>
          <w:sz w:val="22"/>
          <w:szCs w:val="22"/>
        </w:rPr>
        <w:t xml:space="preserve"> le seguenti caratteristiche</w:t>
      </w:r>
      <w:r w:rsidRPr="00884A7B">
        <w:rPr>
          <w:sz w:val="22"/>
          <w:szCs w:val="22"/>
        </w:rPr>
        <w:t xml:space="preserve">: </w:t>
      </w:r>
    </w:p>
    <w:p w:rsidR="003E2CA0" w:rsidRPr="00884A7B" w:rsidRDefault="003E2CA0" w:rsidP="003E2CA0">
      <w:pPr>
        <w:tabs>
          <w:tab w:val="num" w:pos="180"/>
        </w:tabs>
        <w:spacing w:line="260" w:lineRule="exact"/>
        <w:jc w:val="both"/>
        <w:rPr>
          <w:sz w:val="22"/>
          <w:szCs w:val="22"/>
        </w:rPr>
      </w:pPr>
    </w:p>
    <w:p w:rsidR="003E2CA0" w:rsidRPr="00884A7B" w:rsidRDefault="003E2CA0" w:rsidP="003E2CA0">
      <w:pPr>
        <w:numPr>
          <w:ilvl w:val="0"/>
          <w:numId w:val="6"/>
        </w:numPr>
        <w:spacing w:line="260" w:lineRule="exact"/>
        <w:jc w:val="both"/>
        <w:rPr>
          <w:sz w:val="22"/>
          <w:szCs w:val="22"/>
        </w:rPr>
      </w:pPr>
      <w:r>
        <w:rPr>
          <w:sz w:val="22"/>
          <w:szCs w:val="22"/>
        </w:rPr>
        <w:t>Dei destinatari</w:t>
      </w:r>
      <w:r w:rsidRPr="00884A7B">
        <w:rPr>
          <w:sz w:val="22"/>
          <w:szCs w:val="22"/>
        </w:rPr>
        <w:t xml:space="preserve"> chiaramente identificati, compreso il gruppo-obiettivo primario </w:t>
      </w:r>
      <w:proofErr w:type="gramStart"/>
      <w:r w:rsidRPr="00884A7B">
        <w:rPr>
          <w:sz w:val="22"/>
          <w:szCs w:val="22"/>
        </w:rPr>
        <w:t>ed</w:t>
      </w:r>
      <w:proofErr w:type="gramEnd"/>
      <w:r w:rsidRPr="00884A7B">
        <w:rPr>
          <w:sz w:val="22"/>
          <w:szCs w:val="22"/>
        </w:rPr>
        <w:t xml:space="preserve"> i beneficiari finali; </w:t>
      </w:r>
    </w:p>
    <w:p w:rsidR="003E2CA0" w:rsidRPr="00884A7B" w:rsidRDefault="003E2CA0" w:rsidP="003E2CA0">
      <w:pPr>
        <w:numPr>
          <w:ilvl w:val="0"/>
          <w:numId w:val="6"/>
        </w:numPr>
        <w:spacing w:line="260" w:lineRule="exact"/>
        <w:jc w:val="both"/>
        <w:rPr>
          <w:sz w:val="22"/>
          <w:szCs w:val="22"/>
        </w:rPr>
      </w:pPr>
      <w:r>
        <w:rPr>
          <w:sz w:val="22"/>
          <w:szCs w:val="22"/>
        </w:rPr>
        <w:t>Una c</w:t>
      </w:r>
      <w:r w:rsidRPr="00884A7B">
        <w:rPr>
          <w:sz w:val="22"/>
          <w:szCs w:val="22"/>
        </w:rPr>
        <w:t xml:space="preserve">oordinazione ben definita, </w:t>
      </w:r>
      <w:r>
        <w:rPr>
          <w:sz w:val="22"/>
          <w:szCs w:val="22"/>
        </w:rPr>
        <w:t>con l’</w:t>
      </w:r>
      <w:r w:rsidRPr="00884A7B">
        <w:rPr>
          <w:sz w:val="22"/>
          <w:szCs w:val="22"/>
        </w:rPr>
        <w:t xml:space="preserve">amministrazione e </w:t>
      </w:r>
      <w:r>
        <w:rPr>
          <w:sz w:val="22"/>
          <w:szCs w:val="22"/>
        </w:rPr>
        <w:t xml:space="preserve">le disposizioni di </w:t>
      </w:r>
      <w:r w:rsidRPr="00884A7B">
        <w:rPr>
          <w:sz w:val="22"/>
          <w:szCs w:val="22"/>
        </w:rPr>
        <w:t xml:space="preserve">finanziamento; </w:t>
      </w:r>
    </w:p>
    <w:p w:rsidR="003E2CA0" w:rsidRPr="00884A7B" w:rsidRDefault="003E2CA0" w:rsidP="003E2CA0">
      <w:pPr>
        <w:numPr>
          <w:ilvl w:val="0"/>
          <w:numId w:val="6"/>
        </w:numPr>
        <w:spacing w:line="260" w:lineRule="exact"/>
        <w:jc w:val="both"/>
        <w:rPr>
          <w:sz w:val="22"/>
          <w:szCs w:val="22"/>
        </w:rPr>
      </w:pPr>
      <w:r>
        <w:rPr>
          <w:sz w:val="22"/>
          <w:szCs w:val="22"/>
        </w:rPr>
        <w:t>U</w:t>
      </w:r>
      <w:r w:rsidRPr="00884A7B">
        <w:rPr>
          <w:sz w:val="22"/>
          <w:szCs w:val="22"/>
        </w:rPr>
        <w:t xml:space="preserve">n sistema di valutazione e di controllo (per sostenere </w:t>
      </w:r>
      <w:r>
        <w:rPr>
          <w:sz w:val="22"/>
          <w:szCs w:val="22"/>
        </w:rPr>
        <w:t xml:space="preserve">la gestione delle prestazioni); </w:t>
      </w:r>
    </w:p>
    <w:p w:rsidR="003E2CA0" w:rsidRPr="00884A7B" w:rsidRDefault="003E2CA0" w:rsidP="003E2CA0">
      <w:pPr>
        <w:numPr>
          <w:ilvl w:val="0"/>
          <w:numId w:val="6"/>
        </w:numPr>
        <w:spacing w:line="260" w:lineRule="exact"/>
        <w:jc w:val="both"/>
        <w:rPr>
          <w:sz w:val="22"/>
          <w:szCs w:val="22"/>
        </w:rPr>
      </w:pPr>
      <w:r>
        <w:rPr>
          <w:sz w:val="22"/>
          <w:szCs w:val="22"/>
        </w:rPr>
        <w:t>U</w:t>
      </w:r>
      <w:r w:rsidRPr="00884A7B">
        <w:rPr>
          <w:sz w:val="22"/>
          <w:szCs w:val="22"/>
        </w:rPr>
        <w:t>n livello adatto di analisi finanziaria ed econo</w:t>
      </w:r>
      <w:r>
        <w:rPr>
          <w:sz w:val="22"/>
          <w:szCs w:val="22"/>
        </w:rPr>
        <w:t>mica, che indica che</w:t>
      </w:r>
      <w:r w:rsidRPr="00884A7B">
        <w:rPr>
          <w:sz w:val="22"/>
          <w:szCs w:val="22"/>
        </w:rPr>
        <w:t xml:space="preserve"> i benefici</w:t>
      </w:r>
      <w:r>
        <w:rPr>
          <w:sz w:val="22"/>
          <w:szCs w:val="22"/>
        </w:rPr>
        <w:t xml:space="preserve"> del progetto supereranno i relativi costi.</w:t>
      </w:r>
      <w:r>
        <w:rPr>
          <w:rStyle w:val="Rimandonotaapidipagina"/>
          <w:sz w:val="22"/>
          <w:szCs w:val="22"/>
        </w:rPr>
        <w:footnoteReference w:id="1"/>
      </w:r>
    </w:p>
    <w:p w:rsidR="003E2CA0" w:rsidRDefault="003E2CA0" w:rsidP="003E2CA0">
      <w:pPr>
        <w:tabs>
          <w:tab w:val="num" w:pos="180"/>
        </w:tabs>
        <w:spacing w:line="260" w:lineRule="exact"/>
        <w:rPr>
          <w:sz w:val="22"/>
          <w:szCs w:val="22"/>
        </w:rPr>
      </w:pPr>
    </w:p>
    <w:p w:rsidR="003E2CA0" w:rsidRPr="00884A7B" w:rsidRDefault="003E2CA0" w:rsidP="003E2CA0">
      <w:pPr>
        <w:tabs>
          <w:tab w:val="num" w:pos="180"/>
        </w:tabs>
        <w:spacing w:line="260" w:lineRule="exact"/>
        <w:rPr>
          <w:sz w:val="22"/>
          <w:szCs w:val="22"/>
        </w:rPr>
      </w:pPr>
    </w:p>
    <w:p w:rsidR="003E2CA0" w:rsidRPr="00E03578" w:rsidRDefault="003E2CA0" w:rsidP="003E2CA0">
      <w:pPr>
        <w:tabs>
          <w:tab w:val="num" w:pos="180"/>
        </w:tabs>
        <w:spacing w:line="260" w:lineRule="exact"/>
        <w:rPr>
          <w:rFonts w:ascii="Arial" w:hAnsi="Arial" w:cs="Arial"/>
          <w:i/>
          <w:lang w:val="fr-FR"/>
        </w:rPr>
      </w:pPr>
      <w:r>
        <w:rPr>
          <w:rFonts w:ascii="Arial" w:hAnsi="Arial" w:cs="Arial"/>
          <w:i/>
          <w:lang w:val="fr-FR"/>
        </w:rPr>
        <w:t>1</w:t>
      </w:r>
      <w:r w:rsidRPr="00E03578">
        <w:rPr>
          <w:rFonts w:ascii="Arial" w:hAnsi="Arial" w:cs="Arial"/>
          <w:i/>
          <w:lang w:val="fr-FR"/>
        </w:rPr>
        <w:t>. Il Project Cycle Management</w:t>
      </w:r>
    </w:p>
    <w:p w:rsidR="003E2CA0" w:rsidRDefault="003E2CA0" w:rsidP="003E2CA0">
      <w:pPr>
        <w:tabs>
          <w:tab w:val="num" w:pos="180"/>
        </w:tabs>
        <w:spacing w:line="260" w:lineRule="exact"/>
        <w:jc w:val="both"/>
        <w:rPr>
          <w:sz w:val="22"/>
          <w:szCs w:val="22"/>
        </w:rPr>
      </w:pPr>
    </w:p>
    <w:p w:rsidR="003E2CA0" w:rsidRDefault="003E2CA0" w:rsidP="003E2CA0">
      <w:pPr>
        <w:tabs>
          <w:tab w:val="num" w:pos="180"/>
        </w:tabs>
        <w:spacing w:line="260" w:lineRule="exact"/>
        <w:jc w:val="both"/>
        <w:rPr>
          <w:sz w:val="22"/>
          <w:szCs w:val="22"/>
        </w:rPr>
      </w:pPr>
      <w:r>
        <w:rPr>
          <w:sz w:val="22"/>
          <w:szCs w:val="22"/>
        </w:rPr>
        <w:t xml:space="preserve">   </w:t>
      </w:r>
      <w:r w:rsidRPr="00884A7B">
        <w:rPr>
          <w:sz w:val="22"/>
          <w:szCs w:val="22"/>
        </w:rPr>
        <w:t xml:space="preserve">Nei progetti europei, </w:t>
      </w:r>
      <w:r>
        <w:rPr>
          <w:sz w:val="22"/>
          <w:szCs w:val="22"/>
        </w:rPr>
        <w:t xml:space="preserve">si possono individuare delle fasi “standard” che caratterizzano quello che nel </w:t>
      </w:r>
      <w:r w:rsidRPr="00884A7B">
        <w:rPr>
          <w:i/>
          <w:sz w:val="22"/>
          <w:szCs w:val="22"/>
        </w:rPr>
        <w:t>management</w:t>
      </w:r>
      <w:r>
        <w:rPr>
          <w:sz w:val="22"/>
          <w:szCs w:val="22"/>
        </w:rPr>
        <w:t xml:space="preserve"> è conosciuto come “il ciclo del progetto”.</w:t>
      </w:r>
    </w:p>
    <w:p w:rsidR="003E2CA0" w:rsidRDefault="003E2CA0" w:rsidP="003E2CA0">
      <w:pPr>
        <w:tabs>
          <w:tab w:val="num" w:pos="180"/>
        </w:tabs>
        <w:spacing w:line="260" w:lineRule="exact"/>
        <w:jc w:val="both"/>
        <w:rPr>
          <w:sz w:val="22"/>
          <w:szCs w:val="22"/>
        </w:rPr>
      </w:pPr>
      <w:r>
        <w:rPr>
          <w:sz w:val="22"/>
          <w:szCs w:val="22"/>
        </w:rPr>
        <w:t xml:space="preserve">   La figura di seguito illustra le fasi costitutive del ciclo e la loro interazione:</w:t>
      </w:r>
    </w:p>
    <w:p w:rsidR="003E2CA0" w:rsidRDefault="003E2CA0" w:rsidP="003E2CA0">
      <w:pPr>
        <w:tabs>
          <w:tab w:val="num" w:pos="180"/>
        </w:tabs>
        <w:jc w:val="both"/>
        <w:rPr>
          <w:sz w:val="22"/>
          <w:szCs w:val="22"/>
        </w:rPr>
      </w:pPr>
    </w:p>
    <w:p w:rsidR="003E2CA0" w:rsidRDefault="003E2CA0" w:rsidP="003E2CA0">
      <w:pPr>
        <w:tabs>
          <w:tab w:val="num" w:pos="180"/>
        </w:tabs>
        <w:jc w:val="both"/>
        <w:rPr>
          <w:sz w:val="22"/>
          <w:szCs w:val="22"/>
        </w:rPr>
      </w:pPr>
    </w:p>
    <w:p w:rsidR="003E2CA0" w:rsidRPr="00C54C4C" w:rsidRDefault="003E2CA0" w:rsidP="003E2CA0">
      <w:pPr>
        <w:spacing w:line="280" w:lineRule="exact"/>
        <w:rPr>
          <w:rFonts w:ascii="Arial" w:hAnsi="Arial" w:cs="Tahoma"/>
          <w:b/>
          <w:sz w:val="22"/>
          <w:szCs w:val="22"/>
        </w:rPr>
      </w:pPr>
      <w:proofErr w:type="gramStart"/>
      <w:r w:rsidRPr="00C54C4C">
        <w:rPr>
          <w:rFonts w:ascii="Arial" w:hAnsi="Arial" w:cs="Tahoma"/>
          <w:b/>
          <w:sz w:val="22"/>
          <w:szCs w:val="22"/>
        </w:rPr>
        <w:t>Fig.</w:t>
      </w:r>
      <w:proofErr w:type="gramEnd"/>
      <w:r w:rsidRPr="00C54C4C">
        <w:rPr>
          <w:rFonts w:ascii="Arial" w:hAnsi="Arial" w:cs="Tahoma"/>
          <w:b/>
          <w:sz w:val="22"/>
          <w:szCs w:val="22"/>
        </w:rPr>
        <w:t xml:space="preserve"> n. </w:t>
      </w:r>
      <w:r>
        <w:rPr>
          <w:rFonts w:ascii="Arial" w:hAnsi="Arial" w:cs="Tahoma"/>
          <w:b/>
          <w:sz w:val="22"/>
          <w:szCs w:val="22"/>
        </w:rPr>
        <w:t>1</w:t>
      </w:r>
      <w:r w:rsidRPr="00C54C4C">
        <w:rPr>
          <w:rFonts w:ascii="Arial" w:hAnsi="Arial" w:cs="Tahoma"/>
          <w:b/>
          <w:sz w:val="22"/>
          <w:szCs w:val="22"/>
        </w:rPr>
        <w:t xml:space="preserve"> - Il ciclo del progetto</w:t>
      </w:r>
    </w:p>
    <w:p w:rsidR="003E2CA0" w:rsidRPr="00C54C4C" w:rsidRDefault="003E2CA0" w:rsidP="003E2CA0">
      <w:pPr>
        <w:tabs>
          <w:tab w:val="num" w:pos="180"/>
        </w:tabs>
        <w:rPr>
          <w:rFonts w:ascii="Arial" w:hAnsi="Arial"/>
          <w:sz w:val="22"/>
          <w:szCs w:val="22"/>
        </w:rPr>
      </w:pPr>
      <w:r>
        <w:rPr>
          <w:rFonts w:ascii="Arial" w:hAnsi="Arial"/>
          <w:noProof/>
          <w:sz w:val="22"/>
          <w:szCs w:val="22"/>
        </w:rPr>
        <w:drawing>
          <wp:inline distT="0" distB="0" distL="0" distR="0" wp14:anchorId="2ED7076B" wp14:editId="0A446C5D">
            <wp:extent cx="4224655" cy="2633345"/>
            <wp:effectExtent l="0" t="0" r="0" b="8255"/>
            <wp:docPr id="52"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9"/>
                    <pic:cNvPicPr>
                      <a:picLocks noChangeAspect="1" noChangeArrowheads="1"/>
                    </pic:cNvPicPr>
                  </pic:nvPicPr>
                  <pic:blipFill>
                    <a:blip r:embed="rId8">
                      <a:extLst>
                        <a:ext uri="{28A0092B-C50C-407E-A947-70E740481C1C}">
                          <a14:useLocalDpi xmlns:a14="http://schemas.microsoft.com/office/drawing/2010/main" val="0"/>
                        </a:ext>
                      </a:extLst>
                    </a:blip>
                    <a:srcRect l="21622" t="37770" r="46097" b="30269"/>
                    <a:stretch>
                      <a:fillRect/>
                    </a:stretch>
                  </pic:blipFill>
                  <pic:spPr bwMode="auto">
                    <a:xfrm>
                      <a:off x="0" y="0"/>
                      <a:ext cx="4224655" cy="2633345"/>
                    </a:xfrm>
                    <a:prstGeom prst="rect">
                      <a:avLst/>
                    </a:prstGeom>
                    <a:noFill/>
                    <a:ln>
                      <a:noFill/>
                    </a:ln>
                  </pic:spPr>
                </pic:pic>
              </a:graphicData>
            </a:graphic>
          </wp:inline>
        </w:drawing>
      </w:r>
    </w:p>
    <w:p w:rsidR="003E2CA0" w:rsidRDefault="003E2CA0" w:rsidP="003E2CA0">
      <w:pPr>
        <w:spacing w:line="280" w:lineRule="exact"/>
        <w:jc w:val="center"/>
        <w:rPr>
          <w:rFonts w:cs="Tahoma"/>
          <w:b/>
          <w:sz w:val="22"/>
          <w:szCs w:val="22"/>
        </w:rPr>
      </w:pPr>
    </w:p>
    <w:p w:rsidR="003E2CA0" w:rsidRDefault="003E2CA0" w:rsidP="003E2CA0">
      <w:pPr>
        <w:tabs>
          <w:tab w:val="num" w:pos="180"/>
        </w:tabs>
        <w:spacing w:line="260" w:lineRule="exact"/>
        <w:jc w:val="both"/>
        <w:rPr>
          <w:sz w:val="22"/>
          <w:szCs w:val="22"/>
        </w:rPr>
      </w:pPr>
      <w:r>
        <w:rPr>
          <w:sz w:val="22"/>
          <w:szCs w:val="22"/>
        </w:rPr>
        <w:t xml:space="preserve">   La </w:t>
      </w:r>
      <w:r w:rsidRPr="00490B7B">
        <w:rPr>
          <w:sz w:val="22"/>
          <w:szCs w:val="22"/>
          <w:u w:val="single"/>
        </w:rPr>
        <w:t>fase di programmazione</w:t>
      </w:r>
      <w:r>
        <w:rPr>
          <w:sz w:val="22"/>
          <w:szCs w:val="22"/>
        </w:rPr>
        <w:t xml:space="preserve"> riguarda le scelte che ogni singolo operatore fa per definire l’obiettivo del progetto. </w:t>
      </w:r>
    </w:p>
    <w:p w:rsidR="003E2CA0" w:rsidRDefault="003E2CA0" w:rsidP="003E2CA0">
      <w:pPr>
        <w:tabs>
          <w:tab w:val="num" w:pos="180"/>
        </w:tabs>
        <w:spacing w:line="260" w:lineRule="exact"/>
        <w:jc w:val="both"/>
        <w:rPr>
          <w:sz w:val="22"/>
          <w:szCs w:val="22"/>
        </w:rPr>
      </w:pPr>
      <w:r>
        <w:rPr>
          <w:sz w:val="22"/>
          <w:szCs w:val="22"/>
        </w:rPr>
        <w:t xml:space="preserve">   Nella fase di programmazione l’ente proponente deve avere ben chiari quali sono i risultati attesi a medio-lungo termine, con riferimento ad un tema specifico.</w:t>
      </w:r>
    </w:p>
    <w:p w:rsidR="003E2CA0" w:rsidRDefault="003E2CA0" w:rsidP="003E2CA0">
      <w:pPr>
        <w:tabs>
          <w:tab w:val="num" w:pos="180"/>
        </w:tabs>
        <w:spacing w:line="260" w:lineRule="exact"/>
        <w:jc w:val="both"/>
        <w:rPr>
          <w:sz w:val="22"/>
          <w:szCs w:val="22"/>
        </w:rPr>
      </w:pPr>
    </w:p>
    <w:p w:rsidR="003E2CA0" w:rsidRDefault="003E2CA0" w:rsidP="003E2CA0">
      <w:pPr>
        <w:tabs>
          <w:tab w:val="num" w:pos="180"/>
        </w:tabs>
        <w:spacing w:line="260" w:lineRule="exact"/>
        <w:jc w:val="both"/>
        <w:rPr>
          <w:sz w:val="22"/>
          <w:szCs w:val="22"/>
        </w:rPr>
      </w:pPr>
      <w:r>
        <w:rPr>
          <w:sz w:val="22"/>
          <w:szCs w:val="22"/>
        </w:rPr>
        <w:t xml:space="preserve">   L’ente dovrà, in base al progetto che intende realizzare:</w:t>
      </w:r>
    </w:p>
    <w:p w:rsidR="003E2CA0" w:rsidRDefault="003E2CA0" w:rsidP="003E2CA0">
      <w:pPr>
        <w:tabs>
          <w:tab w:val="num" w:pos="180"/>
        </w:tabs>
        <w:spacing w:line="260" w:lineRule="exact"/>
        <w:jc w:val="both"/>
        <w:rPr>
          <w:sz w:val="22"/>
          <w:szCs w:val="22"/>
        </w:rPr>
      </w:pPr>
    </w:p>
    <w:p w:rsidR="003E2CA0" w:rsidRDefault="003E2CA0" w:rsidP="003E2CA0">
      <w:pPr>
        <w:numPr>
          <w:ilvl w:val="0"/>
          <w:numId w:val="1"/>
        </w:numPr>
        <w:spacing w:line="260" w:lineRule="exact"/>
        <w:jc w:val="both"/>
        <w:rPr>
          <w:sz w:val="22"/>
          <w:szCs w:val="22"/>
        </w:rPr>
      </w:pPr>
      <w:r>
        <w:rPr>
          <w:sz w:val="22"/>
          <w:szCs w:val="22"/>
        </w:rPr>
        <w:t>Analizzare le possibili fonti di finanziamento;</w:t>
      </w:r>
    </w:p>
    <w:p w:rsidR="003E2CA0" w:rsidRDefault="003E2CA0" w:rsidP="003E2CA0">
      <w:pPr>
        <w:numPr>
          <w:ilvl w:val="0"/>
          <w:numId w:val="1"/>
        </w:numPr>
        <w:spacing w:line="260" w:lineRule="exact"/>
        <w:jc w:val="both"/>
        <w:rPr>
          <w:sz w:val="22"/>
          <w:szCs w:val="22"/>
        </w:rPr>
      </w:pPr>
      <w:r>
        <w:rPr>
          <w:sz w:val="22"/>
          <w:szCs w:val="22"/>
        </w:rPr>
        <w:t>Scegliere le fonti più adatte;</w:t>
      </w:r>
    </w:p>
    <w:p w:rsidR="003E2CA0" w:rsidRDefault="003E2CA0" w:rsidP="003E2CA0">
      <w:pPr>
        <w:numPr>
          <w:ilvl w:val="0"/>
          <w:numId w:val="1"/>
        </w:numPr>
        <w:spacing w:line="260" w:lineRule="exact"/>
        <w:jc w:val="both"/>
        <w:rPr>
          <w:sz w:val="22"/>
          <w:szCs w:val="22"/>
        </w:rPr>
      </w:pPr>
      <w:r>
        <w:rPr>
          <w:sz w:val="22"/>
          <w:szCs w:val="22"/>
        </w:rPr>
        <w:t xml:space="preserve">Definire i responsabili di progetto e lo </w:t>
      </w:r>
      <w:r w:rsidRPr="00491C9E">
        <w:rPr>
          <w:i/>
          <w:sz w:val="22"/>
          <w:szCs w:val="22"/>
        </w:rPr>
        <w:t>staff</w:t>
      </w:r>
      <w:r>
        <w:rPr>
          <w:sz w:val="22"/>
          <w:szCs w:val="22"/>
        </w:rPr>
        <w:t xml:space="preserve"> di progettazione;</w:t>
      </w:r>
    </w:p>
    <w:p w:rsidR="003E2CA0" w:rsidRDefault="003E2CA0" w:rsidP="003E2CA0">
      <w:pPr>
        <w:numPr>
          <w:ilvl w:val="0"/>
          <w:numId w:val="1"/>
        </w:numPr>
        <w:spacing w:line="260" w:lineRule="exact"/>
        <w:jc w:val="both"/>
        <w:rPr>
          <w:sz w:val="22"/>
          <w:szCs w:val="22"/>
        </w:rPr>
      </w:pPr>
      <w:r>
        <w:rPr>
          <w:sz w:val="22"/>
          <w:szCs w:val="22"/>
        </w:rPr>
        <w:t>Realizzare uno studio di fattibilità interno, se necessario.</w:t>
      </w:r>
    </w:p>
    <w:p w:rsidR="003E2CA0" w:rsidRDefault="003E2CA0" w:rsidP="003E2CA0">
      <w:pPr>
        <w:spacing w:line="260" w:lineRule="exact"/>
        <w:ind w:left="360"/>
        <w:jc w:val="both"/>
        <w:rPr>
          <w:sz w:val="22"/>
          <w:szCs w:val="22"/>
        </w:rPr>
      </w:pPr>
    </w:p>
    <w:p w:rsidR="003E2CA0" w:rsidRDefault="003E2CA0" w:rsidP="003E2CA0">
      <w:pPr>
        <w:spacing w:line="260" w:lineRule="exact"/>
        <w:jc w:val="both"/>
        <w:rPr>
          <w:sz w:val="22"/>
          <w:szCs w:val="22"/>
        </w:rPr>
      </w:pPr>
      <w:r>
        <w:rPr>
          <w:sz w:val="22"/>
          <w:szCs w:val="22"/>
        </w:rPr>
        <w:t xml:space="preserve">   Durante </w:t>
      </w:r>
      <w:r w:rsidRPr="00490B7B">
        <w:rPr>
          <w:sz w:val="22"/>
          <w:szCs w:val="22"/>
          <w:u w:val="single"/>
        </w:rPr>
        <w:t xml:space="preserve">la fase </w:t>
      </w:r>
      <w:proofErr w:type="gramStart"/>
      <w:r w:rsidRPr="00490B7B">
        <w:rPr>
          <w:sz w:val="22"/>
          <w:szCs w:val="22"/>
          <w:u w:val="single"/>
        </w:rPr>
        <w:t xml:space="preserve">di </w:t>
      </w:r>
      <w:proofErr w:type="gramEnd"/>
      <w:r w:rsidRPr="00490B7B">
        <w:rPr>
          <w:sz w:val="22"/>
          <w:szCs w:val="22"/>
          <w:u w:val="single"/>
        </w:rPr>
        <w:t>identificazione</w:t>
      </w:r>
      <w:r>
        <w:rPr>
          <w:sz w:val="22"/>
          <w:szCs w:val="22"/>
        </w:rPr>
        <w:t>, l’ente proponente deve programmare diverse attività:</w:t>
      </w:r>
    </w:p>
    <w:p w:rsidR="003E2CA0" w:rsidRDefault="003E2CA0" w:rsidP="003E2CA0">
      <w:pPr>
        <w:spacing w:line="260" w:lineRule="exact"/>
        <w:jc w:val="both"/>
        <w:rPr>
          <w:sz w:val="22"/>
          <w:szCs w:val="22"/>
        </w:rPr>
      </w:pPr>
    </w:p>
    <w:p w:rsidR="003E2CA0" w:rsidRDefault="003E2CA0" w:rsidP="003E2CA0">
      <w:pPr>
        <w:numPr>
          <w:ilvl w:val="0"/>
          <w:numId w:val="2"/>
        </w:numPr>
        <w:spacing w:line="260" w:lineRule="exact"/>
        <w:jc w:val="both"/>
        <w:rPr>
          <w:sz w:val="22"/>
          <w:szCs w:val="22"/>
        </w:rPr>
      </w:pPr>
      <w:r>
        <w:rPr>
          <w:sz w:val="22"/>
          <w:szCs w:val="22"/>
        </w:rPr>
        <w:lastRenderedPageBreak/>
        <w:t>L’analisi dei problemi da risolvere;</w:t>
      </w:r>
    </w:p>
    <w:p w:rsidR="003E2CA0" w:rsidRDefault="003E2CA0" w:rsidP="003E2CA0">
      <w:pPr>
        <w:numPr>
          <w:ilvl w:val="0"/>
          <w:numId w:val="2"/>
        </w:numPr>
        <w:spacing w:line="260" w:lineRule="exact"/>
        <w:jc w:val="both"/>
        <w:rPr>
          <w:sz w:val="22"/>
          <w:szCs w:val="22"/>
        </w:rPr>
      </w:pPr>
      <w:r>
        <w:rPr>
          <w:sz w:val="22"/>
          <w:szCs w:val="22"/>
        </w:rPr>
        <w:t>L’analisi degli obiettivi da raggiungere;</w:t>
      </w:r>
    </w:p>
    <w:p w:rsidR="003E2CA0" w:rsidRDefault="003E2CA0" w:rsidP="003E2CA0">
      <w:pPr>
        <w:numPr>
          <w:ilvl w:val="0"/>
          <w:numId w:val="2"/>
        </w:numPr>
        <w:spacing w:line="260" w:lineRule="exact"/>
        <w:jc w:val="both"/>
        <w:rPr>
          <w:sz w:val="22"/>
          <w:szCs w:val="22"/>
        </w:rPr>
      </w:pPr>
      <w:r>
        <w:rPr>
          <w:sz w:val="22"/>
          <w:szCs w:val="22"/>
        </w:rPr>
        <w:t>L’individuazione delle possibili strategie da attuare;</w:t>
      </w:r>
    </w:p>
    <w:p w:rsidR="003E2CA0" w:rsidRDefault="003E2CA0" w:rsidP="003E2CA0">
      <w:pPr>
        <w:numPr>
          <w:ilvl w:val="0"/>
          <w:numId w:val="2"/>
        </w:numPr>
        <w:spacing w:line="260" w:lineRule="exact"/>
        <w:jc w:val="both"/>
        <w:rPr>
          <w:sz w:val="22"/>
          <w:szCs w:val="22"/>
        </w:rPr>
      </w:pPr>
      <w:proofErr w:type="gramStart"/>
      <w:r>
        <w:rPr>
          <w:sz w:val="22"/>
          <w:szCs w:val="22"/>
        </w:rPr>
        <w:t>La scelta della strategia migliore per il raggiungimento dell’obiettivo del progetto.</w:t>
      </w:r>
      <w:proofErr w:type="gramEnd"/>
    </w:p>
    <w:p w:rsidR="003E2CA0" w:rsidRDefault="003E2CA0" w:rsidP="003E2CA0">
      <w:pPr>
        <w:spacing w:line="260" w:lineRule="exact"/>
        <w:ind w:left="720"/>
        <w:jc w:val="both"/>
        <w:rPr>
          <w:sz w:val="22"/>
          <w:szCs w:val="22"/>
        </w:rPr>
      </w:pPr>
    </w:p>
    <w:p w:rsidR="003E2CA0" w:rsidRPr="00082C27" w:rsidRDefault="003E2CA0" w:rsidP="003E2CA0">
      <w:pPr>
        <w:spacing w:line="260" w:lineRule="exact"/>
        <w:jc w:val="both"/>
        <w:rPr>
          <w:i/>
          <w:sz w:val="22"/>
          <w:szCs w:val="22"/>
        </w:rPr>
      </w:pPr>
      <w:r>
        <w:rPr>
          <w:sz w:val="22"/>
          <w:szCs w:val="22"/>
        </w:rPr>
        <w:t xml:space="preserve">   In questa fase sarà necessario verificare la disponibilità delle risorse a disposizione del richiedente e dei </w:t>
      </w:r>
      <w:r>
        <w:rPr>
          <w:i/>
          <w:sz w:val="22"/>
          <w:szCs w:val="22"/>
        </w:rPr>
        <w:t>partner</w:t>
      </w:r>
      <w:r>
        <w:rPr>
          <w:sz w:val="22"/>
          <w:szCs w:val="22"/>
        </w:rPr>
        <w:t xml:space="preserve"> e la disponibilità del </w:t>
      </w:r>
      <w:r w:rsidRPr="00C54C4C">
        <w:rPr>
          <w:i/>
          <w:sz w:val="22"/>
          <w:szCs w:val="22"/>
        </w:rPr>
        <w:t xml:space="preserve">budget </w:t>
      </w:r>
      <w:r>
        <w:rPr>
          <w:sz w:val="22"/>
          <w:szCs w:val="22"/>
        </w:rPr>
        <w:t>disposto dalla Commissione europea. In conformità a ciò, si procede alla suddivisione degli oneri finanziari tra i diversi attori.</w:t>
      </w:r>
    </w:p>
    <w:p w:rsidR="003E2CA0" w:rsidRDefault="003E2CA0" w:rsidP="003E2CA0">
      <w:pPr>
        <w:spacing w:line="260" w:lineRule="exact"/>
        <w:jc w:val="both"/>
        <w:rPr>
          <w:sz w:val="22"/>
          <w:szCs w:val="22"/>
        </w:rPr>
      </w:pPr>
    </w:p>
    <w:p w:rsidR="003E2CA0" w:rsidRDefault="003E2CA0" w:rsidP="003E2CA0">
      <w:pPr>
        <w:spacing w:line="260" w:lineRule="exact"/>
        <w:jc w:val="both"/>
        <w:rPr>
          <w:sz w:val="22"/>
          <w:szCs w:val="22"/>
        </w:rPr>
      </w:pPr>
      <w:r>
        <w:rPr>
          <w:sz w:val="22"/>
          <w:szCs w:val="22"/>
        </w:rPr>
        <w:t xml:space="preserve">   Nella </w:t>
      </w:r>
      <w:r w:rsidRPr="00DC06CB">
        <w:rPr>
          <w:sz w:val="22"/>
          <w:szCs w:val="22"/>
          <w:u w:val="single"/>
        </w:rPr>
        <w:t>fase di formulazione</w:t>
      </w:r>
      <w:r>
        <w:rPr>
          <w:sz w:val="22"/>
          <w:szCs w:val="22"/>
        </w:rPr>
        <w:t>, si procede alla compilazione del formulario del progetto, secondo quanto disposto dalla Direzione Generale che si occupa dell’assegnazione dei finanziamenti per quel bando.</w:t>
      </w:r>
    </w:p>
    <w:p w:rsidR="003E2CA0" w:rsidRDefault="003E2CA0" w:rsidP="003E2CA0">
      <w:pPr>
        <w:spacing w:line="260" w:lineRule="exact"/>
        <w:jc w:val="both"/>
        <w:rPr>
          <w:sz w:val="22"/>
          <w:szCs w:val="22"/>
        </w:rPr>
      </w:pPr>
      <w:r>
        <w:rPr>
          <w:sz w:val="22"/>
          <w:szCs w:val="22"/>
        </w:rPr>
        <w:t xml:space="preserve">   E’ fondamentale prestare attenzione a:</w:t>
      </w:r>
    </w:p>
    <w:p w:rsidR="003E2CA0" w:rsidRDefault="003E2CA0" w:rsidP="003E2CA0">
      <w:pPr>
        <w:spacing w:line="260" w:lineRule="exact"/>
        <w:jc w:val="both"/>
        <w:rPr>
          <w:sz w:val="22"/>
          <w:szCs w:val="22"/>
        </w:rPr>
      </w:pPr>
    </w:p>
    <w:p w:rsidR="003E2CA0" w:rsidRDefault="003E2CA0" w:rsidP="003E2CA0">
      <w:pPr>
        <w:numPr>
          <w:ilvl w:val="0"/>
          <w:numId w:val="3"/>
        </w:numPr>
        <w:spacing w:line="260" w:lineRule="exact"/>
        <w:jc w:val="both"/>
        <w:rPr>
          <w:sz w:val="22"/>
          <w:szCs w:val="22"/>
        </w:rPr>
      </w:pPr>
      <w:r>
        <w:rPr>
          <w:sz w:val="22"/>
          <w:szCs w:val="22"/>
        </w:rPr>
        <w:t>La scadenza del bando di gara;</w:t>
      </w:r>
    </w:p>
    <w:p w:rsidR="003E2CA0" w:rsidRDefault="003E2CA0" w:rsidP="003E2CA0">
      <w:pPr>
        <w:numPr>
          <w:ilvl w:val="0"/>
          <w:numId w:val="3"/>
        </w:numPr>
        <w:spacing w:line="260" w:lineRule="exact"/>
        <w:jc w:val="both"/>
        <w:rPr>
          <w:sz w:val="22"/>
          <w:szCs w:val="22"/>
        </w:rPr>
      </w:pPr>
      <w:r>
        <w:rPr>
          <w:sz w:val="22"/>
          <w:szCs w:val="22"/>
        </w:rPr>
        <w:t>La chiarezza nella sintesi dei contenuti del progetto;</w:t>
      </w:r>
    </w:p>
    <w:p w:rsidR="003E2CA0" w:rsidRDefault="003E2CA0" w:rsidP="003E2CA0">
      <w:pPr>
        <w:numPr>
          <w:ilvl w:val="0"/>
          <w:numId w:val="3"/>
        </w:numPr>
        <w:spacing w:line="260" w:lineRule="exact"/>
        <w:jc w:val="both"/>
        <w:rPr>
          <w:sz w:val="22"/>
          <w:szCs w:val="22"/>
        </w:rPr>
      </w:pPr>
      <w:r>
        <w:rPr>
          <w:sz w:val="22"/>
          <w:szCs w:val="22"/>
        </w:rPr>
        <w:t xml:space="preserve">Il controllo del rispetto dei </w:t>
      </w:r>
      <w:proofErr w:type="gramStart"/>
      <w:r>
        <w:rPr>
          <w:sz w:val="22"/>
          <w:szCs w:val="22"/>
        </w:rPr>
        <w:t>requisiti richiesti</w:t>
      </w:r>
      <w:proofErr w:type="gramEnd"/>
      <w:r>
        <w:rPr>
          <w:sz w:val="22"/>
          <w:szCs w:val="22"/>
        </w:rPr>
        <w:t xml:space="preserve"> e la corretta compilazione del formulario in ogni sua parte.</w:t>
      </w:r>
    </w:p>
    <w:p w:rsidR="003E2CA0" w:rsidRDefault="003E2CA0" w:rsidP="003E2CA0">
      <w:pPr>
        <w:spacing w:line="260" w:lineRule="exact"/>
        <w:ind w:left="720"/>
        <w:jc w:val="both"/>
        <w:rPr>
          <w:sz w:val="22"/>
          <w:szCs w:val="22"/>
        </w:rPr>
      </w:pPr>
    </w:p>
    <w:p w:rsidR="003E2CA0" w:rsidRDefault="003E2CA0" w:rsidP="003E2CA0">
      <w:pPr>
        <w:spacing w:line="260" w:lineRule="exact"/>
        <w:jc w:val="both"/>
        <w:rPr>
          <w:sz w:val="22"/>
          <w:szCs w:val="22"/>
        </w:rPr>
      </w:pPr>
      <w:r>
        <w:rPr>
          <w:sz w:val="22"/>
          <w:szCs w:val="22"/>
        </w:rPr>
        <w:t xml:space="preserve">   Quest’ultimo punto è molto importante </w:t>
      </w:r>
      <w:proofErr w:type="gramStart"/>
      <w:r>
        <w:rPr>
          <w:sz w:val="22"/>
          <w:szCs w:val="22"/>
        </w:rPr>
        <w:t>in quanto</w:t>
      </w:r>
      <w:proofErr w:type="gramEnd"/>
      <w:r>
        <w:rPr>
          <w:sz w:val="22"/>
          <w:szCs w:val="22"/>
        </w:rPr>
        <w:t xml:space="preserve"> il formulario dovrà essere compilato correttamente e in tutte le sezioni richieste, secondo le istruzioni indicate; anche gli allegati dovranno rispettare il formato previsto. </w:t>
      </w:r>
    </w:p>
    <w:p w:rsidR="003E2CA0" w:rsidRDefault="003E2CA0" w:rsidP="003E2CA0">
      <w:pPr>
        <w:spacing w:line="260" w:lineRule="exact"/>
        <w:jc w:val="both"/>
        <w:rPr>
          <w:sz w:val="22"/>
          <w:szCs w:val="22"/>
        </w:rPr>
      </w:pPr>
      <w:r>
        <w:rPr>
          <w:sz w:val="22"/>
          <w:szCs w:val="22"/>
        </w:rPr>
        <w:t xml:space="preserve">   La Commissione europea dovrà ricevere il formulario nel numero di copie indicate, regolarmente firmate in originale in ogni sua parte. </w:t>
      </w:r>
      <w:proofErr w:type="gramStart"/>
      <w:r>
        <w:rPr>
          <w:sz w:val="22"/>
          <w:szCs w:val="22"/>
        </w:rPr>
        <w:t>Sottolineiamo</w:t>
      </w:r>
      <w:proofErr w:type="gramEnd"/>
      <w:r>
        <w:rPr>
          <w:sz w:val="22"/>
          <w:szCs w:val="22"/>
        </w:rPr>
        <w:t xml:space="preserve"> che la Commissione può scartare il progetto se il formulario ha dei “vizi di forma”, ad esempio se ha superato il numero massimo di pagine previste. Consigliamo di utilizzare un linguaggio semplice e di illustrare il progetto in ogni sua parte in modo chiaro, senza dare </w:t>
      </w:r>
      <w:proofErr w:type="gramStart"/>
      <w:r>
        <w:rPr>
          <w:sz w:val="22"/>
          <w:szCs w:val="22"/>
        </w:rPr>
        <w:t>adito a</w:t>
      </w:r>
      <w:proofErr w:type="gramEnd"/>
      <w:r>
        <w:rPr>
          <w:sz w:val="22"/>
          <w:szCs w:val="22"/>
        </w:rPr>
        <w:t xml:space="preserve"> diverse interpretazioni, giustificando i costi nel dettaglio; inoltre è preferibile inviare solo ed esclusivamente la documentazione richiesta.</w:t>
      </w:r>
    </w:p>
    <w:p w:rsidR="003E2CA0" w:rsidRDefault="003E2CA0" w:rsidP="003E2CA0">
      <w:pPr>
        <w:spacing w:line="260" w:lineRule="exact"/>
        <w:jc w:val="both"/>
        <w:rPr>
          <w:sz w:val="22"/>
          <w:szCs w:val="22"/>
        </w:rPr>
      </w:pPr>
    </w:p>
    <w:p w:rsidR="003E2CA0" w:rsidRDefault="003E2CA0" w:rsidP="003E2CA0">
      <w:pPr>
        <w:spacing w:line="260" w:lineRule="exact"/>
        <w:jc w:val="both"/>
        <w:rPr>
          <w:sz w:val="22"/>
          <w:szCs w:val="22"/>
        </w:rPr>
      </w:pPr>
      <w:r>
        <w:rPr>
          <w:sz w:val="22"/>
          <w:szCs w:val="22"/>
        </w:rPr>
        <w:t xml:space="preserve">   Nella </w:t>
      </w:r>
      <w:r w:rsidRPr="00826211">
        <w:rPr>
          <w:sz w:val="22"/>
          <w:szCs w:val="22"/>
          <w:u w:val="single"/>
        </w:rPr>
        <w:t xml:space="preserve">fase </w:t>
      </w:r>
      <w:proofErr w:type="gramStart"/>
      <w:r w:rsidRPr="00826211">
        <w:rPr>
          <w:sz w:val="22"/>
          <w:szCs w:val="22"/>
          <w:u w:val="single"/>
        </w:rPr>
        <w:t xml:space="preserve">di </w:t>
      </w:r>
      <w:proofErr w:type="gramEnd"/>
      <w:r w:rsidRPr="00826211">
        <w:rPr>
          <w:sz w:val="22"/>
          <w:szCs w:val="22"/>
          <w:u w:val="single"/>
        </w:rPr>
        <w:t>implementazione</w:t>
      </w:r>
      <w:r>
        <w:rPr>
          <w:sz w:val="22"/>
          <w:szCs w:val="22"/>
        </w:rPr>
        <w:t xml:space="preserve"> si “mettono in opera” tutte le azioni del progetto, una volta ottenuta l’approvazione del cofinanziamento da parte della Commissione europea. In questa fase è importante pianificare le azioni, secondo tempi, metodi di svolgimento e monitoraggio, affidate al responsabile di progetto </w:t>
      </w:r>
      <w:proofErr w:type="gramStart"/>
      <w:r>
        <w:rPr>
          <w:sz w:val="22"/>
          <w:szCs w:val="22"/>
        </w:rPr>
        <w:t>ed</w:t>
      </w:r>
      <w:proofErr w:type="gramEnd"/>
      <w:r>
        <w:rPr>
          <w:sz w:val="22"/>
          <w:szCs w:val="22"/>
        </w:rPr>
        <w:t xml:space="preserve"> allo staff coinvolto.</w:t>
      </w:r>
    </w:p>
    <w:p w:rsidR="003E2CA0" w:rsidRDefault="003E2CA0" w:rsidP="003E2CA0">
      <w:pPr>
        <w:spacing w:line="260" w:lineRule="exact"/>
        <w:jc w:val="both"/>
        <w:rPr>
          <w:sz w:val="22"/>
          <w:szCs w:val="22"/>
        </w:rPr>
      </w:pPr>
    </w:p>
    <w:p w:rsidR="003E2CA0" w:rsidRDefault="003E2CA0" w:rsidP="003E2CA0">
      <w:pPr>
        <w:spacing w:line="260" w:lineRule="exact"/>
        <w:jc w:val="both"/>
        <w:rPr>
          <w:sz w:val="22"/>
          <w:szCs w:val="22"/>
        </w:rPr>
      </w:pPr>
      <w:r>
        <w:rPr>
          <w:sz w:val="22"/>
          <w:szCs w:val="22"/>
        </w:rPr>
        <w:t xml:space="preserve">   L’ultima fase è quella che riguarda il </w:t>
      </w:r>
      <w:r w:rsidRPr="00952EFE">
        <w:rPr>
          <w:sz w:val="22"/>
          <w:szCs w:val="22"/>
          <w:u w:val="single"/>
        </w:rPr>
        <w:t xml:space="preserve">monitoraggio, la valutazione e la </w:t>
      </w:r>
      <w:proofErr w:type="gramStart"/>
      <w:r w:rsidRPr="00952EFE">
        <w:rPr>
          <w:sz w:val="22"/>
          <w:szCs w:val="22"/>
          <w:u w:val="single"/>
        </w:rPr>
        <w:t>rendicontazione</w:t>
      </w:r>
      <w:proofErr w:type="gramEnd"/>
      <w:r w:rsidRPr="00952EFE">
        <w:rPr>
          <w:sz w:val="22"/>
          <w:szCs w:val="22"/>
          <w:u w:val="single"/>
        </w:rPr>
        <w:t xml:space="preserve"> </w:t>
      </w:r>
      <w:r>
        <w:rPr>
          <w:sz w:val="22"/>
          <w:szCs w:val="22"/>
        </w:rPr>
        <w:t>finale del progetto.</w:t>
      </w:r>
    </w:p>
    <w:p w:rsidR="003E2CA0" w:rsidRDefault="003E2CA0" w:rsidP="003E2CA0">
      <w:pPr>
        <w:spacing w:line="260" w:lineRule="exact"/>
        <w:jc w:val="both"/>
        <w:rPr>
          <w:sz w:val="22"/>
          <w:szCs w:val="22"/>
        </w:rPr>
      </w:pPr>
      <w:r>
        <w:rPr>
          <w:sz w:val="22"/>
          <w:szCs w:val="22"/>
        </w:rPr>
        <w:t xml:space="preserve">   Il monitoraggio è uno strumento informativo che verifica costantemente la realizzazione delle azioni per il raggiungimento degli obiettivi prefissati; la valutazione è l’attività volta a misurare il valore aggiunto fornito per la risoluzione del problema o per il conseguimento degli obiettivi del progetto; la </w:t>
      </w:r>
      <w:proofErr w:type="gramStart"/>
      <w:r>
        <w:rPr>
          <w:sz w:val="22"/>
          <w:szCs w:val="22"/>
        </w:rPr>
        <w:t>rendicontazione</w:t>
      </w:r>
      <w:proofErr w:type="gramEnd"/>
      <w:r>
        <w:rPr>
          <w:sz w:val="22"/>
          <w:szCs w:val="22"/>
        </w:rPr>
        <w:t xml:space="preserve"> è, invece, la fotografia delle spese effettivamente sostenute dal beneficiario e dai partner del progetto.</w:t>
      </w:r>
    </w:p>
    <w:p w:rsidR="003E2CA0" w:rsidRDefault="003E2CA0" w:rsidP="003E2CA0">
      <w:pPr>
        <w:spacing w:line="260" w:lineRule="exact"/>
        <w:jc w:val="both"/>
        <w:rPr>
          <w:sz w:val="22"/>
          <w:szCs w:val="22"/>
        </w:rPr>
      </w:pPr>
      <w:r>
        <w:rPr>
          <w:sz w:val="22"/>
          <w:szCs w:val="22"/>
        </w:rPr>
        <w:t xml:space="preserve">   Il monitoraggio deve prevedere una verifica </w:t>
      </w:r>
      <w:proofErr w:type="gramStart"/>
      <w:r>
        <w:rPr>
          <w:sz w:val="22"/>
          <w:szCs w:val="22"/>
        </w:rPr>
        <w:t>ed</w:t>
      </w:r>
      <w:proofErr w:type="gramEnd"/>
      <w:r>
        <w:rPr>
          <w:sz w:val="22"/>
          <w:szCs w:val="22"/>
        </w:rPr>
        <w:t xml:space="preserve"> un controllo sia sullo stato di avanzamento delle spese e sui conti, sia sulla realizzazione delle azioni e sulla necessità di eventuali interventi mirati; il monitoraggio dovrà avvenire in tutte le fasi del progetto (prima, durante e dopo).</w:t>
      </w:r>
    </w:p>
    <w:p w:rsidR="003E2CA0" w:rsidRDefault="003E2CA0" w:rsidP="003E2CA0">
      <w:pPr>
        <w:spacing w:line="260" w:lineRule="exact"/>
        <w:jc w:val="both"/>
        <w:rPr>
          <w:sz w:val="22"/>
          <w:szCs w:val="22"/>
        </w:rPr>
      </w:pPr>
      <w:r>
        <w:rPr>
          <w:sz w:val="22"/>
          <w:szCs w:val="22"/>
        </w:rPr>
        <w:t xml:space="preserve">   La fase di monitoraggio e valutazione dovrà prevedere:</w:t>
      </w:r>
    </w:p>
    <w:p w:rsidR="003E2CA0" w:rsidRDefault="003E2CA0" w:rsidP="003E2CA0">
      <w:pPr>
        <w:spacing w:line="260" w:lineRule="exact"/>
        <w:jc w:val="both"/>
        <w:rPr>
          <w:sz w:val="22"/>
          <w:szCs w:val="22"/>
        </w:rPr>
      </w:pPr>
    </w:p>
    <w:p w:rsidR="003E2CA0" w:rsidRDefault="003E2CA0" w:rsidP="003E2CA0">
      <w:pPr>
        <w:numPr>
          <w:ilvl w:val="0"/>
          <w:numId w:val="4"/>
        </w:numPr>
        <w:spacing w:line="260" w:lineRule="exact"/>
        <w:jc w:val="both"/>
        <w:rPr>
          <w:sz w:val="22"/>
          <w:szCs w:val="22"/>
        </w:rPr>
      </w:pPr>
      <w:r>
        <w:rPr>
          <w:sz w:val="22"/>
          <w:szCs w:val="22"/>
        </w:rPr>
        <w:t>La definizione degli obiettivi;</w:t>
      </w:r>
    </w:p>
    <w:p w:rsidR="003E2CA0" w:rsidRDefault="003E2CA0" w:rsidP="003E2CA0">
      <w:pPr>
        <w:numPr>
          <w:ilvl w:val="0"/>
          <w:numId w:val="4"/>
        </w:numPr>
        <w:spacing w:line="260" w:lineRule="exact"/>
        <w:jc w:val="both"/>
        <w:rPr>
          <w:sz w:val="22"/>
          <w:szCs w:val="22"/>
        </w:rPr>
      </w:pPr>
      <w:r>
        <w:rPr>
          <w:sz w:val="22"/>
          <w:szCs w:val="22"/>
        </w:rPr>
        <w:t xml:space="preserve">La definizione della logica di realizzazione </w:t>
      </w:r>
      <w:proofErr w:type="gramStart"/>
      <w:r>
        <w:rPr>
          <w:sz w:val="22"/>
          <w:szCs w:val="22"/>
        </w:rPr>
        <w:t>del</w:t>
      </w:r>
      <w:proofErr w:type="gramEnd"/>
      <w:r>
        <w:rPr>
          <w:sz w:val="22"/>
          <w:szCs w:val="22"/>
        </w:rPr>
        <w:t xml:space="preserve"> progetto;</w:t>
      </w:r>
    </w:p>
    <w:p w:rsidR="003E2CA0" w:rsidRDefault="003E2CA0" w:rsidP="003E2CA0">
      <w:pPr>
        <w:numPr>
          <w:ilvl w:val="0"/>
          <w:numId w:val="4"/>
        </w:numPr>
        <w:spacing w:line="260" w:lineRule="exact"/>
        <w:jc w:val="both"/>
        <w:rPr>
          <w:sz w:val="22"/>
          <w:szCs w:val="22"/>
        </w:rPr>
      </w:pPr>
      <w:r>
        <w:rPr>
          <w:sz w:val="22"/>
          <w:szCs w:val="22"/>
        </w:rPr>
        <w:t xml:space="preserve">La definizione di un sistema </w:t>
      </w:r>
      <w:proofErr w:type="gramStart"/>
      <w:r>
        <w:rPr>
          <w:sz w:val="22"/>
          <w:szCs w:val="22"/>
        </w:rPr>
        <w:t xml:space="preserve">di </w:t>
      </w:r>
      <w:proofErr w:type="gramEnd"/>
      <w:r>
        <w:rPr>
          <w:sz w:val="22"/>
          <w:szCs w:val="22"/>
        </w:rPr>
        <w:t>indicatori;</w:t>
      </w:r>
    </w:p>
    <w:p w:rsidR="003E2CA0" w:rsidRDefault="003E2CA0" w:rsidP="003E2CA0">
      <w:pPr>
        <w:numPr>
          <w:ilvl w:val="0"/>
          <w:numId w:val="4"/>
        </w:numPr>
        <w:spacing w:line="260" w:lineRule="exact"/>
        <w:jc w:val="both"/>
        <w:rPr>
          <w:sz w:val="22"/>
          <w:szCs w:val="22"/>
        </w:rPr>
      </w:pPr>
      <w:r>
        <w:rPr>
          <w:sz w:val="22"/>
          <w:szCs w:val="22"/>
        </w:rPr>
        <w:t xml:space="preserve">La definizione delle </w:t>
      </w:r>
      <w:proofErr w:type="gramStart"/>
      <w:r>
        <w:rPr>
          <w:sz w:val="22"/>
          <w:szCs w:val="22"/>
        </w:rPr>
        <w:t>modalità</w:t>
      </w:r>
      <w:proofErr w:type="gramEnd"/>
      <w:r>
        <w:rPr>
          <w:sz w:val="22"/>
          <w:szCs w:val="22"/>
        </w:rPr>
        <w:t xml:space="preserve"> di costruzione, rilevazione, elaborazione, aggiornamento, comunicazione degli indicatori;</w:t>
      </w:r>
    </w:p>
    <w:p w:rsidR="003E2CA0" w:rsidRDefault="003E2CA0" w:rsidP="003E2CA0">
      <w:pPr>
        <w:numPr>
          <w:ilvl w:val="0"/>
          <w:numId w:val="4"/>
        </w:numPr>
        <w:spacing w:line="260" w:lineRule="exact"/>
        <w:jc w:val="both"/>
        <w:rPr>
          <w:sz w:val="22"/>
          <w:szCs w:val="22"/>
        </w:rPr>
      </w:pPr>
      <w:r>
        <w:rPr>
          <w:sz w:val="22"/>
          <w:szCs w:val="22"/>
        </w:rPr>
        <w:t>L’effettuazione di eventuali approfondimenti qualitativi dei dati;</w:t>
      </w:r>
    </w:p>
    <w:p w:rsidR="003E2CA0" w:rsidRDefault="003E2CA0" w:rsidP="003E2CA0">
      <w:pPr>
        <w:numPr>
          <w:ilvl w:val="0"/>
          <w:numId w:val="4"/>
        </w:numPr>
        <w:spacing w:line="260" w:lineRule="exact"/>
        <w:jc w:val="both"/>
        <w:rPr>
          <w:sz w:val="22"/>
          <w:szCs w:val="22"/>
        </w:rPr>
      </w:pPr>
      <w:r>
        <w:rPr>
          <w:sz w:val="22"/>
          <w:szCs w:val="22"/>
        </w:rPr>
        <w:t>La definizione dei feedback conseguenti alla comunicazione dei dati;</w:t>
      </w:r>
    </w:p>
    <w:p w:rsidR="003E2CA0" w:rsidRDefault="003E2CA0" w:rsidP="003E2CA0">
      <w:pPr>
        <w:numPr>
          <w:ilvl w:val="0"/>
          <w:numId w:val="4"/>
        </w:numPr>
        <w:spacing w:line="260" w:lineRule="exact"/>
        <w:jc w:val="both"/>
        <w:rPr>
          <w:sz w:val="22"/>
          <w:szCs w:val="22"/>
        </w:rPr>
      </w:pPr>
      <w:r>
        <w:rPr>
          <w:sz w:val="22"/>
          <w:szCs w:val="22"/>
        </w:rPr>
        <w:t>La stesura del report di valutazione.</w:t>
      </w:r>
    </w:p>
    <w:p w:rsidR="003E2CA0" w:rsidRDefault="003E2CA0" w:rsidP="003E2CA0">
      <w:pPr>
        <w:spacing w:line="260" w:lineRule="exact"/>
        <w:ind w:left="360"/>
        <w:jc w:val="both"/>
        <w:rPr>
          <w:sz w:val="22"/>
          <w:szCs w:val="22"/>
        </w:rPr>
      </w:pPr>
    </w:p>
    <w:p w:rsidR="003E2CA0" w:rsidRDefault="003E2CA0" w:rsidP="003E2CA0">
      <w:pPr>
        <w:spacing w:line="260" w:lineRule="exact"/>
        <w:jc w:val="both"/>
        <w:rPr>
          <w:sz w:val="22"/>
          <w:szCs w:val="22"/>
        </w:rPr>
      </w:pPr>
      <w:r>
        <w:rPr>
          <w:sz w:val="22"/>
          <w:szCs w:val="22"/>
        </w:rPr>
        <w:t xml:space="preserve">   Nela fase di </w:t>
      </w:r>
      <w:proofErr w:type="gramStart"/>
      <w:r>
        <w:rPr>
          <w:sz w:val="22"/>
          <w:szCs w:val="22"/>
        </w:rPr>
        <w:t>rendicontazione</w:t>
      </w:r>
      <w:proofErr w:type="gramEnd"/>
      <w:r>
        <w:rPr>
          <w:sz w:val="22"/>
          <w:szCs w:val="22"/>
        </w:rPr>
        <w:t xml:space="preserve"> si dovrà:</w:t>
      </w:r>
    </w:p>
    <w:p w:rsidR="003E2CA0" w:rsidRDefault="003E2CA0" w:rsidP="003E2CA0">
      <w:pPr>
        <w:spacing w:line="260" w:lineRule="exact"/>
        <w:jc w:val="both"/>
        <w:rPr>
          <w:sz w:val="22"/>
          <w:szCs w:val="22"/>
        </w:rPr>
      </w:pPr>
    </w:p>
    <w:p w:rsidR="003E2CA0" w:rsidRDefault="003E2CA0" w:rsidP="003E2CA0">
      <w:pPr>
        <w:numPr>
          <w:ilvl w:val="0"/>
          <w:numId w:val="5"/>
        </w:numPr>
        <w:spacing w:line="260" w:lineRule="exact"/>
        <w:jc w:val="both"/>
        <w:rPr>
          <w:sz w:val="22"/>
          <w:szCs w:val="22"/>
        </w:rPr>
      </w:pPr>
      <w:r>
        <w:rPr>
          <w:sz w:val="22"/>
          <w:szCs w:val="22"/>
        </w:rPr>
        <w:t xml:space="preserve">Riconoscere le spese effettivamente sostenute, ossia le </w:t>
      </w:r>
      <w:proofErr w:type="gramStart"/>
      <w:r>
        <w:rPr>
          <w:sz w:val="22"/>
          <w:szCs w:val="22"/>
        </w:rPr>
        <w:t>spese</w:t>
      </w:r>
      <w:proofErr w:type="gramEnd"/>
      <w:r>
        <w:rPr>
          <w:sz w:val="22"/>
          <w:szCs w:val="22"/>
        </w:rPr>
        <w:t xml:space="preserve"> ammissibili, nel periodo considerato, strettamente connesse al progetto, registrate nella contabilità generale del progetto, conformi alle leggi, contenute nei limiti degli importi approvati in preventivo, giustificate dalle “pezze giustificative” originali o in copia conforme;</w:t>
      </w:r>
    </w:p>
    <w:p w:rsidR="003E2CA0" w:rsidRDefault="003E2CA0" w:rsidP="003E2CA0">
      <w:pPr>
        <w:numPr>
          <w:ilvl w:val="0"/>
          <w:numId w:val="5"/>
        </w:numPr>
        <w:spacing w:line="260" w:lineRule="exact"/>
        <w:jc w:val="both"/>
        <w:rPr>
          <w:sz w:val="22"/>
          <w:szCs w:val="22"/>
        </w:rPr>
      </w:pPr>
      <w:proofErr w:type="gramStart"/>
      <w:r>
        <w:rPr>
          <w:sz w:val="22"/>
          <w:szCs w:val="22"/>
        </w:rPr>
        <w:t>Provare il rispetto degli obblighi derivanti dalla conclusione del contratto con la Commissione europea.</w:t>
      </w:r>
      <w:proofErr w:type="gramEnd"/>
    </w:p>
    <w:p w:rsidR="003E2CA0" w:rsidRDefault="003E2CA0" w:rsidP="003E2CA0">
      <w:pPr>
        <w:spacing w:line="260" w:lineRule="exact"/>
        <w:ind w:left="720"/>
        <w:jc w:val="both"/>
        <w:rPr>
          <w:sz w:val="22"/>
          <w:szCs w:val="22"/>
        </w:rPr>
      </w:pPr>
    </w:p>
    <w:p w:rsidR="003E2CA0" w:rsidRPr="00826211" w:rsidRDefault="003E2CA0" w:rsidP="003E2CA0">
      <w:pPr>
        <w:spacing w:line="260" w:lineRule="exact"/>
        <w:jc w:val="both"/>
        <w:rPr>
          <w:sz w:val="22"/>
          <w:szCs w:val="22"/>
        </w:rPr>
      </w:pPr>
      <w:r>
        <w:rPr>
          <w:sz w:val="22"/>
          <w:szCs w:val="22"/>
        </w:rPr>
        <w:t xml:space="preserve">   L’obiettivo di una corretta </w:t>
      </w:r>
      <w:proofErr w:type="gramStart"/>
      <w:r>
        <w:rPr>
          <w:sz w:val="22"/>
          <w:szCs w:val="22"/>
        </w:rPr>
        <w:t>rendicontazione</w:t>
      </w:r>
      <w:proofErr w:type="gramEnd"/>
      <w:r>
        <w:rPr>
          <w:sz w:val="22"/>
          <w:szCs w:val="22"/>
        </w:rPr>
        <w:t xml:space="preserve"> è quello di far sì che la Commissione eroghi la parte di cofinanziamento prevista (intermedia e/o finale).</w:t>
      </w:r>
    </w:p>
    <w:p w:rsidR="003E2CA0" w:rsidRDefault="003E2CA0" w:rsidP="003E2CA0">
      <w:pPr>
        <w:spacing w:line="260" w:lineRule="exact"/>
        <w:jc w:val="both"/>
        <w:rPr>
          <w:rFonts w:ascii="Arial" w:hAnsi="Arial" w:cs="Arial"/>
          <w:sz w:val="20"/>
          <w:szCs w:val="20"/>
        </w:rPr>
      </w:pPr>
    </w:p>
    <w:p w:rsidR="003E2CA0" w:rsidRDefault="003E2CA0" w:rsidP="003E2CA0">
      <w:pPr>
        <w:spacing w:line="260" w:lineRule="exact"/>
        <w:jc w:val="both"/>
        <w:rPr>
          <w:rFonts w:ascii="Arial" w:hAnsi="Arial" w:cs="Arial"/>
          <w:sz w:val="20"/>
          <w:szCs w:val="20"/>
        </w:rPr>
      </w:pPr>
    </w:p>
    <w:p w:rsidR="003E2CA0" w:rsidRPr="00E37570" w:rsidRDefault="003E2CA0" w:rsidP="003E2CA0">
      <w:pPr>
        <w:spacing w:line="260" w:lineRule="exact"/>
        <w:jc w:val="both"/>
        <w:rPr>
          <w:rFonts w:ascii="Arial" w:hAnsi="Arial" w:cs="Arial"/>
          <w:sz w:val="20"/>
          <w:szCs w:val="20"/>
        </w:rPr>
      </w:pPr>
    </w:p>
    <w:p w:rsidR="003E2CA0" w:rsidRDefault="003E2CA0" w:rsidP="003E2CA0">
      <w:pPr>
        <w:spacing w:line="260" w:lineRule="exact"/>
        <w:jc w:val="both"/>
        <w:rPr>
          <w:rFonts w:ascii="Arial" w:hAnsi="Arial" w:cs="Arial"/>
          <w:i/>
        </w:rPr>
      </w:pPr>
      <w:r>
        <w:rPr>
          <w:rFonts w:ascii="Arial" w:hAnsi="Arial" w:cs="Arial"/>
          <w:i/>
        </w:rPr>
        <w:t>2</w:t>
      </w:r>
      <w:r w:rsidRPr="00E03578">
        <w:rPr>
          <w:rFonts w:ascii="Arial" w:hAnsi="Arial" w:cs="Arial"/>
          <w:i/>
        </w:rPr>
        <w:t>.</w:t>
      </w:r>
      <w:r>
        <w:rPr>
          <w:rFonts w:ascii="Arial" w:hAnsi="Arial" w:cs="Arial"/>
          <w:i/>
        </w:rPr>
        <w:t xml:space="preserve"> I Programmi europei per la formazione</w:t>
      </w:r>
    </w:p>
    <w:p w:rsidR="003E2CA0" w:rsidRDefault="003E2CA0" w:rsidP="003E2CA0">
      <w:pPr>
        <w:spacing w:line="260" w:lineRule="exact"/>
        <w:jc w:val="both"/>
        <w:rPr>
          <w:rFonts w:ascii="Arial" w:hAnsi="Arial" w:cs="Arial"/>
          <w:i/>
        </w:rPr>
      </w:pPr>
    </w:p>
    <w:p w:rsidR="003E2CA0" w:rsidRDefault="003E2CA0" w:rsidP="003E2CA0">
      <w:pPr>
        <w:spacing w:line="260" w:lineRule="exact"/>
        <w:jc w:val="both"/>
        <w:rPr>
          <w:sz w:val="22"/>
          <w:szCs w:val="22"/>
        </w:rPr>
      </w:pPr>
      <w:r>
        <w:rPr>
          <w:sz w:val="22"/>
          <w:szCs w:val="22"/>
        </w:rPr>
        <w:t xml:space="preserve">   </w:t>
      </w:r>
      <w:r w:rsidRPr="00CC1446">
        <w:rPr>
          <w:sz w:val="22"/>
          <w:szCs w:val="22"/>
        </w:rPr>
        <w:t>In questa</w:t>
      </w:r>
      <w:r>
        <w:rPr>
          <w:sz w:val="22"/>
          <w:szCs w:val="22"/>
        </w:rPr>
        <w:t xml:space="preserve"> sessione ci limitiamo </w:t>
      </w:r>
      <w:proofErr w:type="gramStart"/>
      <w:r>
        <w:rPr>
          <w:sz w:val="22"/>
          <w:szCs w:val="22"/>
        </w:rPr>
        <w:t>ad</w:t>
      </w:r>
      <w:proofErr w:type="gramEnd"/>
      <w:r>
        <w:rPr>
          <w:sz w:val="22"/>
          <w:szCs w:val="22"/>
        </w:rPr>
        <w:t xml:space="preserve"> elencare alcuni dei programmi europei che hanno finanziato azioni per la formazione professionale e lo sviluppo delle persone in questi anni (programmazione 2007-2013). Rimandiamo il lettore al portale </w:t>
      </w:r>
      <w:hyperlink r:id="rId9" w:history="1">
        <w:r w:rsidRPr="00405223">
          <w:rPr>
            <w:rStyle w:val="Collegamentoipertestuale"/>
            <w:sz w:val="22"/>
            <w:szCs w:val="22"/>
          </w:rPr>
          <w:t>www.formafin.it</w:t>
        </w:r>
      </w:hyperlink>
      <w:r>
        <w:rPr>
          <w:sz w:val="22"/>
          <w:szCs w:val="22"/>
        </w:rPr>
        <w:t xml:space="preserve"> per un approfondimento sulla materia.</w:t>
      </w:r>
    </w:p>
    <w:p w:rsidR="003E2CA0" w:rsidRDefault="003E2CA0" w:rsidP="003E2CA0">
      <w:pPr>
        <w:spacing w:line="260" w:lineRule="exact"/>
        <w:jc w:val="both"/>
        <w:rPr>
          <w:sz w:val="22"/>
          <w:szCs w:val="22"/>
        </w:rPr>
      </w:pPr>
    </w:p>
    <w:p w:rsidR="003E2CA0" w:rsidRDefault="003E2CA0" w:rsidP="003E2CA0">
      <w:pPr>
        <w:spacing w:line="260" w:lineRule="exact"/>
        <w:jc w:val="both"/>
        <w:rPr>
          <w:sz w:val="22"/>
          <w:szCs w:val="22"/>
        </w:rPr>
      </w:pPr>
      <w:r>
        <w:rPr>
          <w:sz w:val="22"/>
          <w:szCs w:val="22"/>
        </w:rPr>
        <w:t xml:space="preserve">   I principali programmi europei per la formazione sono:</w:t>
      </w:r>
    </w:p>
    <w:p w:rsidR="003E2CA0" w:rsidRDefault="003E2CA0" w:rsidP="003E2CA0">
      <w:pPr>
        <w:spacing w:line="260" w:lineRule="exact"/>
        <w:jc w:val="both"/>
        <w:rPr>
          <w:sz w:val="22"/>
          <w:szCs w:val="22"/>
        </w:rPr>
      </w:pPr>
    </w:p>
    <w:p w:rsidR="003E2CA0" w:rsidRDefault="003E2CA0" w:rsidP="003E2CA0">
      <w:pPr>
        <w:numPr>
          <w:ilvl w:val="0"/>
          <w:numId w:val="7"/>
        </w:numPr>
        <w:spacing w:line="260" w:lineRule="exact"/>
        <w:jc w:val="both"/>
        <w:rPr>
          <w:sz w:val="22"/>
          <w:szCs w:val="22"/>
        </w:rPr>
      </w:pPr>
      <w:r>
        <w:rPr>
          <w:sz w:val="22"/>
          <w:szCs w:val="22"/>
        </w:rPr>
        <w:t xml:space="preserve">Il </w:t>
      </w:r>
      <w:r>
        <w:rPr>
          <w:b/>
          <w:sz w:val="22"/>
          <w:szCs w:val="22"/>
        </w:rPr>
        <w:t>Fondo Sociale E</w:t>
      </w:r>
      <w:r w:rsidRPr="001C0F31">
        <w:rPr>
          <w:b/>
          <w:sz w:val="22"/>
          <w:szCs w:val="22"/>
        </w:rPr>
        <w:t>uropeo</w:t>
      </w:r>
      <w:r>
        <w:rPr>
          <w:sz w:val="22"/>
          <w:szCs w:val="22"/>
        </w:rPr>
        <w:t xml:space="preserve">, </w:t>
      </w:r>
      <w:r w:rsidRPr="00210180">
        <w:rPr>
          <w:sz w:val="22"/>
          <w:szCs w:val="22"/>
        </w:rPr>
        <w:t xml:space="preserve">sostiene la coesione economica e sociale supportando le politiche degli Stati Membri che mirano al raggiungimento della piena occupazione, al miglioramento della qualità e della produttività del lavoro, alla </w:t>
      </w:r>
      <w:proofErr w:type="gramStart"/>
      <w:r w:rsidRPr="00210180">
        <w:rPr>
          <w:sz w:val="22"/>
          <w:szCs w:val="22"/>
        </w:rPr>
        <w:t>promozione</w:t>
      </w:r>
      <w:proofErr w:type="gramEnd"/>
      <w:r w:rsidRPr="00210180">
        <w:rPr>
          <w:sz w:val="22"/>
          <w:szCs w:val="22"/>
        </w:rPr>
        <w:t xml:space="preserve"> dell’inclusione sociale e alla riduzione delle dispar</w:t>
      </w:r>
      <w:r>
        <w:rPr>
          <w:sz w:val="22"/>
          <w:szCs w:val="22"/>
        </w:rPr>
        <w:t>ità regionali nell’occupazione;</w:t>
      </w:r>
    </w:p>
    <w:p w:rsidR="003E2CA0" w:rsidRDefault="003E2CA0" w:rsidP="003E2CA0">
      <w:pPr>
        <w:numPr>
          <w:ilvl w:val="0"/>
          <w:numId w:val="7"/>
        </w:numPr>
        <w:spacing w:line="260" w:lineRule="exact"/>
        <w:jc w:val="both"/>
        <w:rPr>
          <w:sz w:val="22"/>
          <w:szCs w:val="22"/>
        </w:rPr>
      </w:pPr>
      <w:r w:rsidRPr="001C0F31">
        <w:rPr>
          <w:sz w:val="22"/>
          <w:szCs w:val="22"/>
        </w:rPr>
        <w:t xml:space="preserve">Il </w:t>
      </w:r>
      <w:r w:rsidRPr="001C0F31">
        <w:rPr>
          <w:b/>
          <w:sz w:val="22"/>
          <w:szCs w:val="22"/>
        </w:rPr>
        <w:t xml:space="preserve">VII Programma </w:t>
      </w:r>
      <w:proofErr w:type="gramStart"/>
      <w:r w:rsidRPr="001C0F31">
        <w:rPr>
          <w:b/>
          <w:sz w:val="22"/>
          <w:szCs w:val="22"/>
        </w:rPr>
        <w:t>Quadro</w:t>
      </w:r>
      <w:r>
        <w:rPr>
          <w:sz w:val="22"/>
          <w:szCs w:val="22"/>
        </w:rPr>
        <w:t>,</w:t>
      </w:r>
      <w:proofErr w:type="gramEnd"/>
      <w:r>
        <w:rPr>
          <w:sz w:val="22"/>
          <w:szCs w:val="22"/>
        </w:rPr>
        <w:t xml:space="preserve"> </w:t>
      </w:r>
      <w:r w:rsidRPr="00676EE3">
        <w:rPr>
          <w:sz w:val="22"/>
          <w:szCs w:val="22"/>
        </w:rPr>
        <w:t xml:space="preserve">si caratterizza per la presenza di quattro categorie prioritarie nelle quali sono inseriti gli obiettivi del programma: </w:t>
      </w:r>
      <w:proofErr w:type="spellStart"/>
      <w:r w:rsidRPr="00676EE3">
        <w:rPr>
          <w:i/>
          <w:sz w:val="22"/>
          <w:szCs w:val="22"/>
        </w:rPr>
        <w:t>Cooperation</w:t>
      </w:r>
      <w:proofErr w:type="spellEnd"/>
      <w:r w:rsidRPr="00676EE3">
        <w:rPr>
          <w:i/>
          <w:sz w:val="22"/>
          <w:szCs w:val="22"/>
        </w:rPr>
        <w:t xml:space="preserve">, </w:t>
      </w:r>
      <w:proofErr w:type="spellStart"/>
      <w:r w:rsidRPr="00676EE3">
        <w:rPr>
          <w:i/>
          <w:sz w:val="22"/>
          <w:szCs w:val="22"/>
        </w:rPr>
        <w:t>Ideas</w:t>
      </w:r>
      <w:proofErr w:type="spellEnd"/>
      <w:r w:rsidRPr="00676EE3">
        <w:rPr>
          <w:i/>
          <w:sz w:val="22"/>
          <w:szCs w:val="22"/>
        </w:rPr>
        <w:t xml:space="preserve">, People e </w:t>
      </w:r>
      <w:proofErr w:type="spellStart"/>
      <w:r w:rsidRPr="00676EE3">
        <w:rPr>
          <w:i/>
          <w:sz w:val="22"/>
          <w:szCs w:val="22"/>
        </w:rPr>
        <w:t>Capacities</w:t>
      </w:r>
      <w:proofErr w:type="spellEnd"/>
      <w:r w:rsidRPr="00676EE3">
        <w:rPr>
          <w:sz w:val="22"/>
          <w:szCs w:val="22"/>
        </w:rPr>
        <w:t>. Per ognuno è previsto uno specifico programma corrispondente alle principali aree delle p</w:t>
      </w:r>
      <w:r>
        <w:rPr>
          <w:sz w:val="22"/>
          <w:szCs w:val="22"/>
        </w:rPr>
        <w:t>olitiche di ricerca comunitarie;</w:t>
      </w:r>
    </w:p>
    <w:p w:rsidR="003E2CA0" w:rsidRDefault="003E2CA0" w:rsidP="003E2CA0">
      <w:pPr>
        <w:numPr>
          <w:ilvl w:val="0"/>
          <w:numId w:val="7"/>
        </w:numPr>
        <w:spacing w:line="260" w:lineRule="exact"/>
        <w:jc w:val="both"/>
        <w:rPr>
          <w:sz w:val="22"/>
          <w:szCs w:val="22"/>
        </w:rPr>
      </w:pPr>
      <w:r>
        <w:rPr>
          <w:sz w:val="22"/>
          <w:szCs w:val="22"/>
        </w:rPr>
        <w:t xml:space="preserve">Il programma quadro per la </w:t>
      </w:r>
      <w:r w:rsidRPr="00D95508">
        <w:rPr>
          <w:b/>
          <w:sz w:val="22"/>
          <w:szCs w:val="22"/>
        </w:rPr>
        <w:t>Competitività e l’Innovazione 2007-2013</w:t>
      </w:r>
      <w:r>
        <w:rPr>
          <w:sz w:val="22"/>
          <w:szCs w:val="22"/>
        </w:rPr>
        <w:t xml:space="preserve"> (CIP), sostiene le attività innovative, </w:t>
      </w:r>
      <w:proofErr w:type="gramStart"/>
      <w:r>
        <w:rPr>
          <w:sz w:val="22"/>
          <w:szCs w:val="22"/>
        </w:rPr>
        <w:t>offre</w:t>
      </w:r>
      <w:proofErr w:type="gramEnd"/>
      <w:r w:rsidRPr="00963873">
        <w:rPr>
          <w:sz w:val="22"/>
          <w:szCs w:val="22"/>
        </w:rPr>
        <w:t xml:space="preserve"> un acces</w:t>
      </w:r>
      <w:r>
        <w:rPr>
          <w:sz w:val="22"/>
          <w:szCs w:val="22"/>
        </w:rPr>
        <w:t>so migliore ai finanziamenti ed eroga</w:t>
      </w:r>
      <w:r w:rsidRPr="00963873">
        <w:rPr>
          <w:sz w:val="22"/>
          <w:szCs w:val="22"/>
        </w:rPr>
        <w:t xml:space="preserve"> servizi di supporto alle aziende nelle regioni. </w:t>
      </w:r>
      <w:r>
        <w:rPr>
          <w:sz w:val="22"/>
          <w:szCs w:val="22"/>
        </w:rPr>
        <w:t>Il CIP s</w:t>
      </w:r>
      <w:r w:rsidRPr="00963873">
        <w:rPr>
          <w:sz w:val="22"/>
          <w:szCs w:val="22"/>
        </w:rPr>
        <w:t xml:space="preserve">ostiene l'adozione </w:t>
      </w:r>
      <w:proofErr w:type="gramStart"/>
      <w:r w:rsidRPr="00963873">
        <w:rPr>
          <w:sz w:val="22"/>
          <w:szCs w:val="22"/>
        </w:rPr>
        <w:t>ed</w:t>
      </w:r>
      <w:proofErr w:type="gramEnd"/>
      <w:r w:rsidRPr="00963873">
        <w:rPr>
          <w:sz w:val="22"/>
          <w:szCs w:val="22"/>
        </w:rPr>
        <w:t xml:space="preserve"> un utilizzo migliore delle tecnologie dell'informazi</w:t>
      </w:r>
      <w:r>
        <w:rPr>
          <w:sz w:val="22"/>
          <w:szCs w:val="22"/>
        </w:rPr>
        <w:t>one e della comunicazione (TIC) e promuove</w:t>
      </w:r>
      <w:r w:rsidRPr="00963873">
        <w:rPr>
          <w:sz w:val="22"/>
          <w:szCs w:val="22"/>
        </w:rPr>
        <w:t xml:space="preserve"> un maggiore ricorso alle energie rinnovabili e </w:t>
      </w:r>
      <w:r>
        <w:rPr>
          <w:sz w:val="22"/>
          <w:szCs w:val="22"/>
        </w:rPr>
        <w:t>al</w:t>
      </w:r>
      <w:r w:rsidRPr="00963873">
        <w:rPr>
          <w:sz w:val="22"/>
          <w:szCs w:val="22"/>
        </w:rPr>
        <w:t>l'efficienz</w:t>
      </w:r>
      <w:r>
        <w:rPr>
          <w:sz w:val="22"/>
          <w:szCs w:val="22"/>
        </w:rPr>
        <w:t>a energetica;</w:t>
      </w:r>
    </w:p>
    <w:p w:rsidR="003E2CA0" w:rsidRDefault="003E2CA0" w:rsidP="003E2CA0">
      <w:pPr>
        <w:numPr>
          <w:ilvl w:val="0"/>
          <w:numId w:val="7"/>
        </w:numPr>
        <w:spacing w:line="260" w:lineRule="exact"/>
        <w:jc w:val="both"/>
        <w:rPr>
          <w:sz w:val="22"/>
          <w:szCs w:val="22"/>
        </w:rPr>
      </w:pPr>
      <w:r>
        <w:rPr>
          <w:sz w:val="22"/>
          <w:szCs w:val="22"/>
        </w:rPr>
        <w:t xml:space="preserve">Il </w:t>
      </w:r>
      <w:r w:rsidRPr="00D95508">
        <w:rPr>
          <w:b/>
          <w:sz w:val="22"/>
          <w:szCs w:val="22"/>
        </w:rPr>
        <w:t xml:space="preserve">Life Long Learning </w:t>
      </w:r>
      <w:proofErr w:type="spellStart"/>
      <w:r w:rsidRPr="00D95508">
        <w:rPr>
          <w:b/>
          <w:sz w:val="22"/>
          <w:szCs w:val="22"/>
        </w:rPr>
        <w:t>Programme</w:t>
      </w:r>
      <w:proofErr w:type="spellEnd"/>
      <w:r>
        <w:rPr>
          <w:b/>
          <w:sz w:val="22"/>
          <w:szCs w:val="22"/>
        </w:rPr>
        <w:t>,</w:t>
      </w:r>
      <w:r>
        <w:rPr>
          <w:sz w:val="22"/>
          <w:szCs w:val="22"/>
        </w:rPr>
        <w:t xml:space="preserve"> </w:t>
      </w:r>
      <w:proofErr w:type="gramStart"/>
      <w:r w:rsidRPr="00CE760A">
        <w:rPr>
          <w:sz w:val="22"/>
          <w:szCs w:val="22"/>
        </w:rPr>
        <w:t>ovvero</w:t>
      </w:r>
      <w:proofErr w:type="gramEnd"/>
      <w:r w:rsidRPr="00CE760A">
        <w:rPr>
          <w:sz w:val="22"/>
          <w:szCs w:val="22"/>
        </w:rPr>
        <w:t xml:space="preserve"> Programma d'azione comunitaria nel campo dell'apprendimento permanente,  </w:t>
      </w:r>
      <w:r>
        <w:rPr>
          <w:sz w:val="22"/>
          <w:szCs w:val="22"/>
        </w:rPr>
        <w:t xml:space="preserve">che </w:t>
      </w:r>
      <w:r w:rsidRPr="00CE760A">
        <w:rPr>
          <w:sz w:val="22"/>
          <w:szCs w:val="22"/>
        </w:rPr>
        <w:t xml:space="preserve">comprende le iniziative di cooperazione europea nell'ambito dell’istruzione e della formazione per il periodo di programmazione 2007 – 2013 e sostituisce i programmi </w:t>
      </w:r>
      <w:proofErr w:type="spellStart"/>
      <w:r w:rsidRPr="00CE760A">
        <w:rPr>
          <w:sz w:val="22"/>
          <w:szCs w:val="22"/>
        </w:rPr>
        <w:t>Socrates</w:t>
      </w:r>
      <w:proofErr w:type="spellEnd"/>
      <w:r w:rsidRPr="00CE760A">
        <w:rPr>
          <w:sz w:val="22"/>
          <w:szCs w:val="22"/>
        </w:rPr>
        <w:t xml:space="preserve"> e Leonardo, alla base della formazione continua n</w:t>
      </w:r>
      <w:r>
        <w:rPr>
          <w:sz w:val="22"/>
          <w:szCs w:val="22"/>
        </w:rPr>
        <w:t>elle precedenti programmazioni;</w:t>
      </w:r>
    </w:p>
    <w:p w:rsidR="003E2CA0" w:rsidRPr="00C54C4C" w:rsidRDefault="003E2CA0" w:rsidP="003E2CA0">
      <w:pPr>
        <w:numPr>
          <w:ilvl w:val="0"/>
          <w:numId w:val="7"/>
        </w:numPr>
        <w:spacing w:line="260" w:lineRule="exact"/>
        <w:jc w:val="both"/>
        <w:rPr>
          <w:sz w:val="22"/>
          <w:szCs w:val="22"/>
        </w:rPr>
      </w:pPr>
      <w:r>
        <w:rPr>
          <w:sz w:val="22"/>
          <w:szCs w:val="22"/>
        </w:rPr>
        <w:t xml:space="preserve">Programmi a supporto </w:t>
      </w:r>
      <w:proofErr w:type="gramStart"/>
      <w:r>
        <w:rPr>
          <w:sz w:val="22"/>
          <w:szCs w:val="22"/>
        </w:rPr>
        <w:t xml:space="preserve">dell’ </w:t>
      </w:r>
      <w:proofErr w:type="gramEnd"/>
      <w:r w:rsidRPr="00D95508">
        <w:rPr>
          <w:b/>
          <w:sz w:val="22"/>
          <w:szCs w:val="22"/>
        </w:rPr>
        <w:t>e-Learning</w:t>
      </w:r>
      <w:r w:rsidRPr="00676EE3">
        <w:rPr>
          <w:sz w:val="22"/>
          <w:szCs w:val="22"/>
        </w:rPr>
        <w:t xml:space="preserve">. Tra i programmi che comunque prevedono la possibilità di supportare progetti di e-learning nei settori </w:t>
      </w:r>
      <w:proofErr w:type="gramStart"/>
      <w:r w:rsidRPr="00676EE3">
        <w:rPr>
          <w:sz w:val="22"/>
          <w:szCs w:val="22"/>
        </w:rPr>
        <w:t>di</w:t>
      </w:r>
      <w:proofErr w:type="gramEnd"/>
      <w:r w:rsidRPr="00676EE3">
        <w:rPr>
          <w:sz w:val="22"/>
          <w:szCs w:val="22"/>
        </w:rPr>
        <w:t xml:space="preserve"> competenza si ricordano:</w:t>
      </w:r>
    </w:p>
    <w:p w:rsidR="003E2CA0" w:rsidRPr="00676EE3" w:rsidRDefault="003E2CA0" w:rsidP="003E2CA0">
      <w:pPr>
        <w:spacing w:line="260" w:lineRule="exact"/>
        <w:ind w:left="644" w:firstLine="284"/>
        <w:jc w:val="both"/>
        <w:rPr>
          <w:i/>
          <w:sz w:val="22"/>
          <w:szCs w:val="22"/>
          <w:lang w:val="en-GB"/>
        </w:rPr>
      </w:pPr>
      <w:r w:rsidRPr="00676EE3">
        <w:rPr>
          <w:i/>
          <w:sz w:val="22"/>
          <w:szCs w:val="22"/>
          <w:lang w:val="en-GB"/>
        </w:rPr>
        <w:t xml:space="preserve">• </w:t>
      </w:r>
      <w:r w:rsidRPr="00676EE3">
        <w:rPr>
          <w:i/>
          <w:iCs/>
          <w:sz w:val="22"/>
          <w:szCs w:val="22"/>
          <w:lang w:val="en-GB"/>
        </w:rPr>
        <w:t>IDA - Interchange of Data between Administrations</w:t>
      </w:r>
    </w:p>
    <w:p w:rsidR="003E2CA0" w:rsidRPr="00676EE3" w:rsidRDefault="003E2CA0" w:rsidP="003E2CA0">
      <w:pPr>
        <w:spacing w:line="260" w:lineRule="exact"/>
        <w:ind w:left="644" w:firstLine="284"/>
        <w:jc w:val="both"/>
        <w:rPr>
          <w:sz w:val="22"/>
          <w:szCs w:val="22"/>
          <w:lang w:val="fr-FR"/>
        </w:rPr>
      </w:pPr>
      <w:r w:rsidRPr="00676EE3">
        <w:rPr>
          <w:sz w:val="22"/>
          <w:szCs w:val="22"/>
          <w:lang w:val="fr-FR"/>
        </w:rPr>
        <w:t xml:space="preserve">• </w:t>
      </w:r>
      <w:proofErr w:type="spellStart"/>
      <w:r w:rsidRPr="00676EE3">
        <w:rPr>
          <w:sz w:val="22"/>
          <w:szCs w:val="22"/>
          <w:lang w:val="fr-FR"/>
        </w:rPr>
        <w:t>Safer</w:t>
      </w:r>
      <w:proofErr w:type="spellEnd"/>
      <w:r w:rsidRPr="00676EE3">
        <w:rPr>
          <w:sz w:val="22"/>
          <w:szCs w:val="22"/>
          <w:lang w:val="fr-FR"/>
        </w:rPr>
        <w:t xml:space="preserve"> Internet Action Plan</w:t>
      </w:r>
    </w:p>
    <w:p w:rsidR="003E2CA0" w:rsidRPr="00676EE3" w:rsidRDefault="003E2CA0" w:rsidP="003E2CA0">
      <w:pPr>
        <w:spacing w:line="260" w:lineRule="exact"/>
        <w:ind w:left="644" w:firstLine="284"/>
        <w:jc w:val="both"/>
        <w:rPr>
          <w:sz w:val="22"/>
          <w:szCs w:val="22"/>
          <w:lang w:val="fr-FR"/>
        </w:rPr>
      </w:pPr>
      <w:r w:rsidRPr="00676EE3">
        <w:rPr>
          <w:sz w:val="22"/>
          <w:szCs w:val="22"/>
          <w:lang w:val="fr-FR"/>
        </w:rPr>
        <w:t xml:space="preserve">• </w:t>
      </w:r>
      <w:proofErr w:type="spellStart"/>
      <w:proofErr w:type="gramStart"/>
      <w:r w:rsidRPr="00676EE3">
        <w:rPr>
          <w:sz w:val="22"/>
          <w:szCs w:val="22"/>
          <w:lang w:val="fr-FR"/>
        </w:rPr>
        <w:t>eContent</w:t>
      </w:r>
      <w:proofErr w:type="spellEnd"/>
      <w:proofErr w:type="gramEnd"/>
      <w:r w:rsidRPr="00676EE3">
        <w:rPr>
          <w:sz w:val="22"/>
          <w:szCs w:val="22"/>
          <w:lang w:val="fr-FR"/>
        </w:rPr>
        <w:t xml:space="preserve"> Plus</w:t>
      </w:r>
    </w:p>
    <w:p w:rsidR="003E2CA0" w:rsidRPr="00C54C4C" w:rsidRDefault="003E2CA0" w:rsidP="003E2CA0">
      <w:pPr>
        <w:spacing w:line="260" w:lineRule="exact"/>
        <w:ind w:left="644" w:firstLine="284"/>
        <w:jc w:val="both"/>
        <w:rPr>
          <w:sz w:val="22"/>
          <w:szCs w:val="22"/>
        </w:rPr>
      </w:pPr>
      <w:r w:rsidRPr="00676EE3">
        <w:rPr>
          <w:sz w:val="22"/>
          <w:szCs w:val="22"/>
        </w:rPr>
        <w:t xml:space="preserve">• Media </w:t>
      </w:r>
    </w:p>
    <w:p w:rsidR="003E2CA0" w:rsidRDefault="003E2CA0" w:rsidP="003E2CA0">
      <w:pPr>
        <w:tabs>
          <w:tab w:val="left" w:pos="1380"/>
        </w:tabs>
        <w:spacing w:line="240" w:lineRule="exact"/>
        <w:jc w:val="both"/>
        <w:rPr>
          <w:rFonts w:ascii="Arial" w:hAnsi="Arial" w:cs="Arial"/>
          <w:b/>
          <w:sz w:val="20"/>
          <w:szCs w:val="20"/>
        </w:rPr>
      </w:pPr>
      <w:r>
        <w:rPr>
          <w:rFonts w:ascii="Arial" w:hAnsi="Arial" w:cs="Arial"/>
          <w:b/>
          <w:sz w:val="20"/>
          <w:szCs w:val="20"/>
        </w:rPr>
        <w:tab/>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Il XIII rapporto sulla formazione continua dell’</w:t>
      </w:r>
      <w:proofErr w:type="gramStart"/>
      <w:r w:rsidRPr="003D2E30">
        <w:rPr>
          <w:sz w:val="22"/>
          <w:szCs w:val="22"/>
        </w:rPr>
        <w:t>ISFOL</w:t>
      </w:r>
      <w:r w:rsidRPr="003D2E30">
        <w:rPr>
          <w:rStyle w:val="Rimandonotaapidipagina"/>
          <w:sz w:val="22"/>
          <w:szCs w:val="22"/>
        </w:rPr>
        <w:footnoteReference w:id="2"/>
      </w:r>
      <w:r w:rsidRPr="003D2E30">
        <w:rPr>
          <w:sz w:val="22"/>
          <w:szCs w:val="22"/>
        </w:rPr>
        <w:t>,</w:t>
      </w:r>
      <w:proofErr w:type="gramEnd"/>
      <w:r w:rsidRPr="003D2E30">
        <w:rPr>
          <w:sz w:val="22"/>
          <w:szCs w:val="22"/>
        </w:rPr>
        <w:t xml:space="preserve"> riporta alcuni dati sull’andamento dell’offerta regionale e sul contributo del Fondo Sociale Europeo, per la formazione continua in Italia. </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L'indagine FOP 2012 sull'offerta di formazione professionale regionale, i cui dati sono riportati nel rapporto, analizza la capacità dei sistemi regionali di rispondere alla domanda </w:t>
      </w:r>
      <w:proofErr w:type="gramStart"/>
      <w:r w:rsidRPr="003D2E30">
        <w:rPr>
          <w:sz w:val="22"/>
          <w:szCs w:val="22"/>
        </w:rPr>
        <w:t>di</w:t>
      </w:r>
      <w:proofErr w:type="gramEnd"/>
      <w:r w:rsidRPr="003D2E30">
        <w:rPr>
          <w:sz w:val="22"/>
          <w:szCs w:val="22"/>
        </w:rPr>
        <w:t xml:space="preserve"> professionalità del mercato del lavoro, anche se non in modo sistemico. </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Il quadro nazionale </w:t>
      </w:r>
      <w:proofErr w:type="gramStart"/>
      <w:r w:rsidRPr="003D2E30">
        <w:rPr>
          <w:sz w:val="22"/>
          <w:szCs w:val="22"/>
        </w:rPr>
        <w:t>risulta</w:t>
      </w:r>
      <w:proofErr w:type="gramEnd"/>
      <w:r w:rsidRPr="003D2E30">
        <w:rPr>
          <w:sz w:val="22"/>
          <w:szCs w:val="22"/>
        </w:rPr>
        <w:t xml:space="preserve"> molto frammentato di sistemi, a loro volta suddivisi in differenti sottosistemi provinciali, che esprimono le specificità territoriali. </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Dal punto di vista della formazione continua appare la difficoltà </w:t>
      </w:r>
      <w:proofErr w:type="gramStart"/>
      <w:r w:rsidRPr="003D2E30">
        <w:rPr>
          <w:sz w:val="22"/>
          <w:szCs w:val="22"/>
        </w:rPr>
        <w:t xml:space="preserve">di </w:t>
      </w:r>
      <w:proofErr w:type="gramEnd"/>
      <w:r w:rsidRPr="003D2E30">
        <w:rPr>
          <w:sz w:val="22"/>
          <w:szCs w:val="22"/>
        </w:rPr>
        <w:t xml:space="preserve">integrazione delle </w:t>
      </w:r>
      <w:r w:rsidRPr="003D2E30">
        <w:rPr>
          <w:i/>
          <w:sz w:val="22"/>
          <w:szCs w:val="22"/>
        </w:rPr>
        <w:t>policy</w:t>
      </w:r>
      <w:r w:rsidRPr="003D2E30">
        <w:rPr>
          <w:sz w:val="22"/>
          <w:szCs w:val="22"/>
        </w:rPr>
        <w:t xml:space="preserve"> e dei canali finanziari della </w:t>
      </w:r>
      <w:proofErr w:type="spellStart"/>
      <w:r w:rsidRPr="003D2E30">
        <w:rPr>
          <w:i/>
          <w:sz w:val="22"/>
          <w:szCs w:val="22"/>
        </w:rPr>
        <w:t>governance</w:t>
      </w:r>
      <w:proofErr w:type="spellEnd"/>
      <w:r w:rsidRPr="003D2E30">
        <w:rPr>
          <w:sz w:val="22"/>
          <w:szCs w:val="22"/>
        </w:rPr>
        <w:t xml:space="preserve"> su cui agiscono più attori. Il partenariato istituzionale nelle diverse esperienze territoriali ha funzionato in maniera diversa </w:t>
      </w:r>
      <w:proofErr w:type="gramStart"/>
      <w:r w:rsidRPr="003D2E30">
        <w:rPr>
          <w:sz w:val="22"/>
          <w:szCs w:val="22"/>
        </w:rPr>
        <w:t>a seconda dei</w:t>
      </w:r>
      <w:proofErr w:type="gramEnd"/>
      <w:r w:rsidRPr="003D2E30">
        <w:rPr>
          <w:sz w:val="22"/>
          <w:szCs w:val="22"/>
        </w:rPr>
        <w:t xml:space="preserve"> contesti. Questo rende ancora più debole la capacità </w:t>
      </w:r>
      <w:proofErr w:type="gramStart"/>
      <w:r w:rsidRPr="003D2E30">
        <w:rPr>
          <w:sz w:val="22"/>
          <w:szCs w:val="22"/>
        </w:rPr>
        <w:t xml:space="preserve">di </w:t>
      </w:r>
      <w:proofErr w:type="gramEnd"/>
      <w:r w:rsidRPr="003D2E30">
        <w:rPr>
          <w:sz w:val="22"/>
          <w:szCs w:val="22"/>
        </w:rPr>
        <w:t>investimenti in formazione delle imprese così come rende difficile la risposta ai reali fabbisogni del sistema economico produttivo.</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Si passa, infatti, da programmazioni regionali che distribuiscono i finanziamenti </w:t>
      </w:r>
      <w:proofErr w:type="gramStart"/>
      <w:r w:rsidRPr="003D2E30">
        <w:rPr>
          <w:sz w:val="22"/>
          <w:szCs w:val="22"/>
        </w:rPr>
        <w:t>a seconda di</w:t>
      </w:r>
      <w:proofErr w:type="gramEnd"/>
      <w:r w:rsidRPr="003D2E30">
        <w:rPr>
          <w:sz w:val="22"/>
          <w:szCs w:val="22"/>
        </w:rPr>
        <w:t xml:space="preserve"> come l'impresa definisce il proprio fabbisogno, senza che il progetto formativo venga sottoposto a selezione (Piemonte), a prassi con importanti contrattazione (Toscana), a programmazioni di piani pluriennali e per filiera, a programmazione integrata e unitaria (Campania Piano del Lavoro). </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Regioni come Veneto e Lombardia, invece, hanno puntato sulla dote lavoro che ha caratterizzato le politiche attive per la mobilità e la cassa integrazione in deroga, in affiancamento alle politiche passive. </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Il voucher formativo è stato uno strumento di risposta alla diffusione della formazione a iniziativa individuale dei lavoratori. Diverse regioni si sono dotate di sistemi per la mappatura delle competenze per una migliore efficacia della formazione che </w:t>
      </w:r>
      <w:proofErr w:type="gramStart"/>
      <w:r w:rsidRPr="003D2E30">
        <w:rPr>
          <w:sz w:val="22"/>
          <w:szCs w:val="22"/>
        </w:rPr>
        <w:t>risultano</w:t>
      </w:r>
      <w:proofErr w:type="gramEnd"/>
      <w:r w:rsidRPr="003D2E30">
        <w:rPr>
          <w:sz w:val="22"/>
          <w:szCs w:val="22"/>
        </w:rPr>
        <w:t xml:space="preserve"> però essere valide solo sul proprio territorio (vedi il modello della Regione Lombardia). Emerge un po' ovunque l'autoreferenzialità di un sistema non sufficientemente basato sull'analisi dei fabbisogni e sulla valutazione degli esiti.</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Come riportato nel rapporto, alcune interessanti esperienze regionali che hanno avviato strumenti </w:t>
      </w:r>
      <w:proofErr w:type="gramStart"/>
      <w:r w:rsidRPr="003D2E30">
        <w:rPr>
          <w:sz w:val="22"/>
          <w:szCs w:val="22"/>
        </w:rPr>
        <w:t>multi-fondo</w:t>
      </w:r>
      <w:proofErr w:type="gramEnd"/>
      <w:r w:rsidRPr="003D2E30">
        <w:rPr>
          <w:sz w:val="22"/>
          <w:szCs w:val="22"/>
        </w:rPr>
        <w:t xml:space="preserve"> attraverso l'integrazione tra risorse FSE e risorse dei Fondi Interprofessionali, devono essere sostenute a livello nazionale anche attraverso un maggiore sforzo per rendere uniformi le modalità di rendicontazione e di controllo, i tempi di programmazione e di erogazione delle risorse.</w:t>
      </w:r>
    </w:p>
    <w:p w:rsidR="003E2CA0" w:rsidRPr="003D2E30"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Le risorse del Fondo Sociale Europeo sono state utilizzate per la ricollocazione e il reintegro dei lavoratori sottoposti a trattamenti di ammortizzatori sociali in deroga per un importo di </w:t>
      </w:r>
      <w:proofErr w:type="gramStart"/>
      <w:r w:rsidRPr="003D2E30">
        <w:rPr>
          <w:sz w:val="22"/>
          <w:szCs w:val="22"/>
        </w:rPr>
        <w:t>2</w:t>
      </w:r>
      <w:proofErr w:type="gramEnd"/>
      <w:r w:rsidRPr="003D2E30">
        <w:rPr>
          <w:sz w:val="22"/>
          <w:szCs w:val="22"/>
        </w:rPr>
        <w:t xml:space="preserve"> miliardi e 145 milioni, di cui il 50 per cento destinato a percorsi di politiche attive del lavoro, per un totale di 402 mila lavoratori, di cui 361 percettori di cassa integrazione in deroga e 41 mila in mobilità.</w:t>
      </w:r>
    </w:p>
    <w:p w:rsidR="003E2CA0" w:rsidRPr="003D2E30" w:rsidRDefault="003E2CA0" w:rsidP="003E2CA0">
      <w:pPr>
        <w:widowControl w:val="0"/>
        <w:autoSpaceDE w:val="0"/>
        <w:autoSpaceDN w:val="0"/>
        <w:adjustRightInd w:val="0"/>
        <w:spacing w:line="260" w:lineRule="exact"/>
        <w:jc w:val="both"/>
        <w:rPr>
          <w:sz w:val="22"/>
          <w:szCs w:val="22"/>
        </w:rPr>
      </w:pPr>
    </w:p>
    <w:p w:rsidR="003E2CA0" w:rsidRPr="00F91BAB" w:rsidRDefault="003E2CA0" w:rsidP="003E2CA0">
      <w:pPr>
        <w:widowControl w:val="0"/>
        <w:autoSpaceDE w:val="0"/>
        <w:autoSpaceDN w:val="0"/>
        <w:adjustRightInd w:val="0"/>
        <w:spacing w:line="260" w:lineRule="exact"/>
        <w:jc w:val="both"/>
        <w:rPr>
          <w:sz w:val="22"/>
          <w:szCs w:val="22"/>
        </w:rPr>
      </w:pPr>
      <w:r>
        <w:rPr>
          <w:sz w:val="22"/>
          <w:szCs w:val="22"/>
        </w:rPr>
        <w:t xml:space="preserve">   </w:t>
      </w:r>
      <w:r w:rsidRPr="003D2E30">
        <w:rPr>
          <w:sz w:val="22"/>
          <w:szCs w:val="22"/>
        </w:rPr>
        <w:t xml:space="preserve">Il Rapporto </w:t>
      </w:r>
      <w:proofErr w:type="gramStart"/>
      <w:r w:rsidRPr="003D2E30">
        <w:rPr>
          <w:sz w:val="22"/>
          <w:szCs w:val="22"/>
        </w:rPr>
        <w:t>conclude</w:t>
      </w:r>
      <w:proofErr w:type="gramEnd"/>
      <w:r w:rsidRPr="003D2E30">
        <w:rPr>
          <w:sz w:val="22"/>
          <w:szCs w:val="22"/>
        </w:rPr>
        <w:t xml:space="preserve"> ammettendo che le analisi a disposizione, a causa delle diverse variabili in gioco, non permettono la valutazione dell'effettivo valore aggiunto delle politiche attive finanziate. Infatti, il Rapporto rileva l'insufficienza a livello regionale della valutazione delle misure adottate e propone l'adozione di archivi informativi di tipo europeo </w:t>
      </w:r>
      <w:proofErr w:type="gramStart"/>
      <w:r w:rsidRPr="003D2E30">
        <w:rPr>
          <w:sz w:val="22"/>
          <w:szCs w:val="22"/>
        </w:rPr>
        <w:t>di</w:t>
      </w:r>
      <w:proofErr w:type="gramEnd"/>
      <w:r w:rsidRPr="003D2E30">
        <w:rPr>
          <w:sz w:val="22"/>
          <w:szCs w:val="22"/>
        </w:rPr>
        <w:t xml:space="preserve"> monitoraggio congiunto, servizi al lavoro/offerta formativa, quale strumento idoneo per la valutazione dell'efficacia degli interventi effettuati.</w:t>
      </w: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Pr="00CC1446" w:rsidRDefault="003E2CA0" w:rsidP="003E2CA0">
      <w:pPr>
        <w:spacing w:line="280" w:lineRule="exact"/>
        <w:jc w:val="both"/>
        <w:rPr>
          <w:rFonts w:ascii="Arial" w:hAnsi="Arial" w:cs="Arial"/>
          <w:i/>
          <w:lang w:val="fr-FR"/>
        </w:rPr>
      </w:pPr>
      <w:r>
        <w:rPr>
          <w:rFonts w:ascii="Arial" w:hAnsi="Arial" w:cs="Arial"/>
          <w:i/>
          <w:lang w:val="fr-FR"/>
        </w:rPr>
        <w:t>3</w:t>
      </w:r>
      <w:r w:rsidRPr="00CC1446">
        <w:rPr>
          <w:rFonts w:ascii="Arial" w:hAnsi="Arial" w:cs="Arial"/>
          <w:i/>
          <w:lang w:val="fr-FR"/>
        </w:rPr>
        <w:t xml:space="preserve">. La </w:t>
      </w:r>
      <w:proofErr w:type="spellStart"/>
      <w:r w:rsidRPr="00CC1446">
        <w:rPr>
          <w:rFonts w:ascii="Arial" w:hAnsi="Arial" w:cs="Arial"/>
          <w:i/>
          <w:lang w:val="fr-FR"/>
        </w:rPr>
        <w:t>nuova</w:t>
      </w:r>
      <w:proofErr w:type="spellEnd"/>
      <w:r w:rsidRPr="00CC1446">
        <w:rPr>
          <w:rFonts w:ascii="Arial" w:hAnsi="Arial" w:cs="Arial"/>
          <w:i/>
          <w:lang w:val="fr-FR"/>
        </w:rPr>
        <w:t xml:space="preserve"> </w:t>
      </w:r>
      <w:proofErr w:type="spellStart"/>
      <w:r w:rsidRPr="00CC1446">
        <w:rPr>
          <w:rFonts w:ascii="Arial" w:hAnsi="Arial" w:cs="Arial"/>
          <w:i/>
          <w:lang w:val="fr-FR"/>
        </w:rPr>
        <w:t>programmazione</w:t>
      </w:r>
      <w:proofErr w:type="spellEnd"/>
      <w:r w:rsidRPr="00CC1446">
        <w:rPr>
          <w:rFonts w:ascii="Arial" w:hAnsi="Arial" w:cs="Arial"/>
          <w:i/>
          <w:lang w:val="fr-FR"/>
        </w:rPr>
        <w:t xml:space="preserve"> </w:t>
      </w:r>
      <w:proofErr w:type="spellStart"/>
      <w:r w:rsidRPr="00CC1446">
        <w:rPr>
          <w:rFonts w:ascii="Arial" w:hAnsi="Arial" w:cs="Arial"/>
          <w:i/>
          <w:lang w:val="fr-FR"/>
        </w:rPr>
        <w:t>europea</w:t>
      </w:r>
      <w:proofErr w:type="spellEnd"/>
    </w:p>
    <w:p w:rsidR="003E2CA0" w:rsidRDefault="003E2CA0" w:rsidP="003E2CA0">
      <w:pPr>
        <w:spacing w:line="280" w:lineRule="exact"/>
        <w:jc w:val="both"/>
        <w:rPr>
          <w:rFonts w:ascii="Arial" w:hAnsi="Arial" w:cs="Arial"/>
          <w:b/>
          <w:iCs/>
        </w:rPr>
      </w:pPr>
    </w:p>
    <w:p w:rsidR="003E2CA0" w:rsidRPr="00CC1446" w:rsidRDefault="003E2CA0" w:rsidP="003E2CA0">
      <w:pPr>
        <w:spacing w:line="280" w:lineRule="exact"/>
        <w:jc w:val="both"/>
        <w:rPr>
          <w:rFonts w:ascii="Arial" w:hAnsi="Arial" w:cs="Arial"/>
          <w:b/>
          <w:iCs/>
          <w:sz w:val="22"/>
          <w:szCs w:val="22"/>
        </w:rPr>
      </w:pPr>
      <w:r w:rsidRPr="00CC1446">
        <w:rPr>
          <w:rFonts w:ascii="Arial" w:hAnsi="Arial" w:cs="Arial"/>
          <w:b/>
          <w:iCs/>
          <w:sz w:val="22"/>
          <w:szCs w:val="22"/>
        </w:rPr>
        <w:t>Sintesi: alcuni dati</w:t>
      </w:r>
      <w:r w:rsidRPr="00CC1446">
        <w:rPr>
          <w:rFonts w:ascii="Arial" w:hAnsi="Arial" w:cs="Arial"/>
          <w:b/>
          <w:iCs/>
          <w:sz w:val="22"/>
          <w:szCs w:val="22"/>
        </w:rPr>
        <w:fldChar w:fldCharType="begin"/>
      </w:r>
      <w:r w:rsidRPr="00CC1446">
        <w:rPr>
          <w:rFonts w:ascii="Arial" w:hAnsi="Arial" w:cs="Arial"/>
          <w:sz w:val="22"/>
          <w:szCs w:val="22"/>
        </w:rPr>
        <w:instrText xml:space="preserve"> XE "</w:instrText>
      </w:r>
      <w:r w:rsidRPr="00CC1446">
        <w:rPr>
          <w:rFonts w:ascii="Arial" w:hAnsi="Arial" w:cs="Arial"/>
          <w:b/>
          <w:iCs/>
          <w:sz w:val="22"/>
          <w:szCs w:val="22"/>
        </w:rPr>
        <w:instrText>2. Cosa è stato fatto fino ad oggi? Alcuni dati</w:instrText>
      </w:r>
      <w:r w:rsidRPr="00CC1446">
        <w:rPr>
          <w:rFonts w:ascii="Arial" w:hAnsi="Arial" w:cs="Arial"/>
          <w:sz w:val="22"/>
          <w:szCs w:val="22"/>
        </w:rPr>
        <w:instrText xml:space="preserve">" </w:instrText>
      </w:r>
      <w:r w:rsidRPr="00CC1446">
        <w:rPr>
          <w:rFonts w:ascii="Arial" w:hAnsi="Arial" w:cs="Arial"/>
          <w:b/>
          <w:iCs/>
          <w:sz w:val="22"/>
          <w:szCs w:val="22"/>
        </w:rPr>
        <w:fldChar w:fldCharType="end"/>
      </w:r>
    </w:p>
    <w:p w:rsidR="003E2CA0" w:rsidRDefault="003E2CA0" w:rsidP="003E2CA0">
      <w:pPr>
        <w:spacing w:line="280" w:lineRule="exact"/>
        <w:jc w:val="both"/>
        <w:rPr>
          <w:rFonts w:ascii="Arial" w:hAnsi="Arial" w:cs="Arial"/>
          <w:b/>
          <w:iCs/>
        </w:rPr>
      </w:pPr>
    </w:p>
    <w:p w:rsidR="003E2CA0" w:rsidRDefault="003E2CA0" w:rsidP="003E2CA0">
      <w:pPr>
        <w:rPr>
          <w:rFonts w:ascii="Arial" w:hAnsi="Arial" w:cs="Arial"/>
          <w:b/>
          <w:iCs/>
        </w:rPr>
      </w:pPr>
    </w:p>
    <w:p w:rsidR="003E2CA0" w:rsidRPr="00CC1446" w:rsidRDefault="003E2CA0" w:rsidP="003E2CA0">
      <w:pPr>
        <w:jc w:val="both"/>
        <w:rPr>
          <w:sz w:val="22"/>
          <w:szCs w:val="22"/>
        </w:rPr>
      </w:pPr>
      <w:r w:rsidRPr="00CC1446">
        <w:rPr>
          <w:sz w:val="22"/>
          <w:szCs w:val="22"/>
        </w:rPr>
        <w:t xml:space="preserve">     La Commissione è responsabile della ripartizione del bilancio. Sono tuttavia i paesi membri che gestiscono il 76% dei fondi dell'UE.</w:t>
      </w:r>
    </w:p>
    <w:p w:rsidR="003E2CA0" w:rsidRPr="00CC1446" w:rsidRDefault="003E2CA0" w:rsidP="003E2CA0">
      <w:pPr>
        <w:jc w:val="both"/>
        <w:rPr>
          <w:sz w:val="22"/>
          <w:szCs w:val="22"/>
        </w:rPr>
      </w:pPr>
      <w:r w:rsidRPr="00CC1446">
        <w:rPr>
          <w:sz w:val="22"/>
          <w:szCs w:val="22"/>
        </w:rPr>
        <w:t xml:space="preserve">     Il bilancio dell'UE si articola sostanzialmente in sei categorie di spesa:</w:t>
      </w:r>
    </w:p>
    <w:p w:rsidR="003E2CA0" w:rsidRPr="00CC1446" w:rsidRDefault="003E2CA0" w:rsidP="003E2CA0">
      <w:pPr>
        <w:jc w:val="both"/>
        <w:rPr>
          <w:sz w:val="22"/>
          <w:szCs w:val="22"/>
        </w:rPr>
      </w:pPr>
    </w:p>
    <w:p w:rsidR="003E2CA0" w:rsidRPr="00CC1446" w:rsidRDefault="003E2CA0" w:rsidP="003E2CA0">
      <w:pPr>
        <w:pStyle w:val="Paragrafoelenco"/>
        <w:numPr>
          <w:ilvl w:val="0"/>
          <w:numId w:val="8"/>
        </w:numPr>
        <w:jc w:val="both"/>
        <w:rPr>
          <w:sz w:val="22"/>
          <w:szCs w:val="22"/>
        </w:rPr>
      </w:pPr>
      <w:r w:rsidRPr="00CC1446">
        <w:rPr>
          <w:sz w:val="22"/>
          <w:szCs w:val="22"/>
        </w:rPr>
        <w:t>Coesione e competitività per la crescita e l’occupazione (45%)</w:t>
      </w:r>
    </w:p>
    <w:p w:rsidR="003E2CA0" w:rsidRPr="00CC1446" w:rsidRDefault="003E2CA0" w:rsidP="003E2CA0">
      <w:pPr>
        <w:pStyle w:val="Paragrafoelenco"/>
        <w:numPr>
          <w:ilvl w:val="0"/>
          <w:numId w:val="8"/>
        </w:numPr>
        <w:jc w:val="both"/>
        <w:rPr>
          <w:sz w:val="22"/>
          <w:szCs w:val="22"/>
        </w:rPr>
      </w:pPr>
      <w:r w:rsidRPr="00CC1446">
        <w:rPr>
          <w:sz w:val="22"/>
          <w:szCs w:val="22"/>
        </w:rPr>
        <w:t>Pagamenti diretti e spese connesse al mercato (31%</w:t>
      </w:r>
      <w:proofErr w:type="gramStart"/>
      <w:r w:rsidRPr="00CC1446">
        <w:rPr>
          <w:sz w:val="22"/>
          <w:szCs w:val="22"/>
        </w:rPr>
        <w:t>)</w:t>
      </w:r>
      <w:proofErr w:type="gramEnd"/>
    </w:p>
    <w:p w:rsidR="003E2CA0" w:rsidRPr="00CC1446" w:rsidRDefault="003E2CA0" w:rsidP="003E2CA0">
      <w:pPr>
        <w:pStyle w:val="Paragrafoelenco"/>
        <w:numPr>
          <w:ilvl w:val="0"/>
          <w:numId w:val="8"/>
        </w:numPr>
        <w:jc w:val="both"/>
        <w:rPr>
          <w:sz w:val="22"/>
          <w:szCs w:val="22"/>
        </w:rPr>
      </w:pPr>
      <w:r w:rsidRPr="00CC1446">
        <w:rPr>
          <w:sz w:val="22"/>
          <w:szCs w:val="22"/>
        </w:rPr>
        <w:t>Sviluppo rurale (11%)</w:t>
      </w:r>
    </w:p>
    <w:p w:rsidR="003E2CA0" w:rsidRPr="00CC1446" w:rsidRDefault="003E2CA0" w:rsidP="003E2CA0">
      <w:pPr>
        <w:pStyle w:val="Paragrafoelenco"/>
        <w:numPr>
          <w:ilvl w:val="0"/>
          <w:numId w:val="8"/>
        </w:numPr>
        <w:jc w:val="both"/>
        <w:rPr>
          <w:sz w:val="22"/>
          <w:szCs w:val="22"/>
        </w:rPr>
      </w:pPr>
      <w:r w:rsidRPr="00CC1446">
        <w:rPr>
          <w:sz w:val="22"/>
          <w:szCs w:val="22"/>
        </w:rPr>
        <w:t>L’UE come attore globale (6%)</w:t>
      </w:r>
    </w:p>
    <w:p w:rsidR="003E2CA0" w:rsidRPr="00CC1446" w:rsidRDefault="003E2CA0" w:rsidP="003E2CA0">
      <w:pPr>
        <w:pStyle w:val="Paragrafoelenco"/>
        <w:numPr>
          <w:ilvl w:val="0"/>
          <w:numId w:val="8"/>
        </w:numPr>
        <w:jc w:val="both"/>
        <w:rPr>
          <w:sz w:val="22"/>
          <w:szCs w:val="22"/>
        </w:rPr>
      </w:pPr>
      <w:r w:rsidRPr="00CC1446">
        <w:rPr>
          <w:sz w:val="22"/>
          <w:szCs w:val="22"/>
        </w:rPr>
        <w:t>Amministrazione (6%)</w:t>
      </w:r>
    </w:p>
    <w:p w:rsidR="003E2CA0" w:rsidRDefault="003E2CA0" w:rsidP="003E2CA0">
      <w:pPr>
        <w:pStyle w:val="Paragrafoelenco"/>
        <w:numPr>
          <w:ilvl w:val="0"/>
          <w:numId w:val="8"/>
        </w:numPr>
        <w:jc w:val="both"/>
        <w:rPr>
          <w:sz w:val="22"/>
          <w:szCs w:val="22"/>
        </w:rPr>
      </w:pPr>
      <w:r w:rsidRPr="00CC1446">
        <w:rPr>
          <w:sz w:val="22"/>
          <w:szCs w:val="22"/>
        </w:rPr>
        <w:t>Cittadinanza, libertà, sicurezza e giustizia (1%)</w:t>
      </w:r>
    </w:p>
    <w:p w:rsidR="003E2CA0" w:rsidRDefault="003E2CA0" w:rsidP="003E2CA0">
      <w:pPr>
        <w:jc w:val="both"/>
        <w:rPr>
          <w:sz w:val="22"/>
          <w:szCs w:val="22"/>
        </w:rPr>
      </w:pPr>
    </w:p>
    <w:p w:rsidR="003E2CA0" w:rsidRDefault="003E2CA0" w:rsidP="003E2CA0">
      <w:pPr>
        <w:jc w:val="both"/>
        <w:rPr>
          <w:sz w:val="22"/>
          <w:szCs w:val="22"/>
        </w:rPr>
      </w:pPr>
    </w:p>
    <w:p w:rsidR="003E2CA0" w:rsidRDefault="003E2CA0" w:rsidP="003E2CA0">
      <w:pPr>
        <w:jc w:val="both"/>
        <w:rPr>
          <w:sz w:val="22"/>
          <w:szCs w:val="22"/>
        </w:rPr>
      </w:pPr>
    </w:p>
    <w:p w:rsidR="003E2CA0" w:rsidRDefault="003E2CA0" w:rsidP="003E2CA0">
      <w:pPr>
        <w:jc w:val="both"/>
        <w:rPr>
          <w:sz w:val="22"/>
          <w:szCs w:val="22"/>
        </w:rPr>
      </w:pPr>
    </w:p>
    <w:p w:rsidR="003E2CA0" w:rsidRDefault="003E2CA0" w:rsidP="003E2CA0">
      <w:pPr>
        <w:jc w:val="both"/>
        <w:rPr>
          <w:sz w:val="22"/>
          <w:szCs w:val="22"/>
        </w:rPr>
      </w:pPr>
    </w:p>
    <w:p w:rsidR="003E2CA0" w:rsidRDefault="003E2CA0" w:rsidP="003E2CA0">
      <w:pPr>
        <w:jc w:val="both"/>
        <w:rPr>
          <w:sz w:val="22"/>
          <w:szCs w:val="22"/>
        </w:rPr>
      </w:pPr>
    </w:p>
    <w:p w:rsidR="003E2CA0" w:rsidRPr="003E2CA0" w:rsidRDefault="003E2CA0" w:rsidP="003E2CA0">
      <w:pPr>
        <w:jc w:val="both"/>
        <w:rPr>
          <w:sz w:val="22"/>
          <w:szCs w:val="22"/>
        </w:rPr>
      </w:pPr>
    </w:p>
    <w:p w:rsidR="003E2CA0" w:rsidRDefault="003E2CA0" w:rsidP="003E2CA0"/>
    <w:p w:rsidR="003E2CA0" w:rsidRPr="006C2EAB" w:rsidRDefault="003E2CA0" w:rsidP="003E2CA0">
      <w:pPr>
        <w:rPr>
          <w:rFonts w:ascii="Arial" w:hAnsi="Arial" w:cs="Arial"/>
          <w:b/>
          <w:sz w:val="20"/>
          <w:szCs w:val="20"/>
        </w:rPr>
      </w:pPr>
      <w:proofErr w:type="gramStart"/>
      <w:r>
        <w:rPr>
          <w:rFonts w:ascii="Arial" w:hAnsi="Arial" w:cs="Arial"/>
          <w:b/>
          <w:sz w:val="20"/>
          <w:szCs w:val="20"/>
        </w:rPr>
        <w:t>Fig.</w:t>
      </w:r>
      <w:proofErr w:type="gramEnd"/>
      <w:r>
        <w:rPr>
          <w:rFonts w:ascii="Arial" w:hAnsi="Arial" w:cs="Arial"/>
          <w:b/>
          <w:sz w:val="20"/>
          <w:szCs w:val="20"/>
        </w:rPr>
        <w:t xml:space="preserve"> n. 2</w:t>
      </w:r>
      <w:r>
        <w:rPr>
          <w:rFonts w:ascii="Arial" w:hAnsi="Arial" w:cs="Arial"/>
          <w:b/>
          <w:sz w:val="20"/>
          <w:szCs w:val="20"/>
        </w:rPr>
        <w:t xml:space="preserve"> -</w:t>
      </w:r>
      <w:r w:rsidRPr="00BC0D2D">
        <w:rPr>
          <w:rFonts w:ascii="Arial" w:hAnsi="Arial" w:cs="Arial"/>
          <w:b/>
          <w:sz w:val="20"/>
          <w:szCs w:val="20"/>
        </w:rPr>
        <w:t xml:space="preserve"> La </w:t>
      </w:r>
      <w:r>
        <w:rPr>
          <w:rFonts w:ascii="Arial" w:hAnsi="Arial" w:cs="Arial"/>
          <w:b/>
          <w:sz w:val="20"/>
          <w:szCs w:val="20"/>
        </w:rPr>
        <w:t>ripartizione del bilancio della UE</w:t>
      </w:r>
    </w:p>
    <w:p w:rsidR="003E2CA0" w:rsidRDefault="003E2CA0" w:rsidP="003E2CA0">
      <w:r w:rsidRPr="000D3BC5">
        <w:rPr>
          <w:noProof/>
        </w:rPr>
        <w:drawing>
          <wp:anchor distT="0" distB="0" distL="114300" distR="114300" simplePos="0" relativeHeight="251659264" behindDoc="0" locked="0" layoutInCell="1" allowOverlap="1" wp14:anchorId="23320398" wp14:editId="50C0A660">
            <wp:simplePos x="0" y="0"/>
            <wp:positionH relativeFrom="column">
              <wp:posOffset>0</wp:posOffset>
            </wp:positionH>
            <wp:positionV relativeFrom="paragraph">
              <wp:posOffset>175260</wp:posOffset>
            </wp:positionV>
            <wp:extent cx="4244340" cy="1897380"/>
            <wp:effectExtent l="0" t="0" r="0" b="7620"/>
            <wp:wrapThrough wrapText="bothSides">
              <wp:wrapPolygon edited="0">
                <wp:start x="0" y="0"/>
                <wp:lineTo x="0" y="21398"/>
                <wp:lineTo x="21458" y="21398"/>
                <wp:lineTo x="21458" y="0"/>
                <wp:lineTo x="0" y="0"/>
              </wp:wrapPolygon>
            </wp:wrapThrough>
            <wp:docPr id="949"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4340" cy="1897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E2CA0" w:rsidRDefault="003E2CA0" w:rsidP="003E2CA0"/>
    <w:p w:rsidR="003E2CA0" w:rsidRDefault="003E2CA0" w:rsidP="003E2CA0"/>
    <w:p w:rsidR="003E2CA0" w:rsidRDefault="003E2CA0" w:rsidP="003E2CA0">
      <w:pPr>
        <w:jc w:val="both"/>
      </w:pPr>
      <w:r>
        <w:t xml:space="preserve">     </w:t>
      </w: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
    <w:p w:rsidR="003E2CA0" w:rsidRDefault="003E2CA0" w:rsidP="003E2CA0">
      <w:pPr>
        <w:jc w:val="both"/>
      </w:pPr>
      <w:proofErr w:type="gramStart"/>
      <w:r w:rsidRPr="00CC1446">
        <w:rPr>
          <w:sz w:val="22"/>
          <w:szCs w:val="22"/>
        </w:rPr>
        <w:t>Attualmente</w:t>
      </w:r>
      <w:proofErr w:type="gramEnd"/>
      <w:r w:rsidRPr="00CC1446">
        <w:rPr>
          <w:sz w:val="22"/>
          <w:szCs w:val="22"/>
        </w:rPr>
        <w:t xml:space="preserve">, l’investimento più ingente è quello destinato a stimolare la crescita e l'occupazione e a ridurre le disparità economiche tra le regioni. Una quota </w:t>
      </w:r>
      <w:proofErr w:type="gramStart"/>
      <w:r w:rsidRPr="00CC1446">
        <w:rPr>
          <w:sz w:val="22"/>
          <w:szCs w:val="22"/>
        </w:rPr>
        <w:t>significativa</w:t>
      </w:r>
      <w:proofErr w:type="gramEnd"/>
      <w:r w:rsidRPr="00CC1446">
        <w:rPr>
          <w:sz w:val="22"/>
          <w:szCs w:val="22"/>
        </w:rPr>
        <w:t xml:space="preserve"> è attribuita inoltre all'agricoltura, allo sviluppo rurale, alla pesca e alla tutela dell'ambiente. Altri settori di spesa includono la lotta al terrorismo, alla criminalità organizzata e all'immigrazione clandestina.</w:t>
      </w:r>
    </w:p>
    <w:p w:rsidR="003E2CA0" w:rsidRDefault="003E2CA0" w:rsidP="003E2CA0"/>
    <w:p w:rsidR="003E2CA0" w:rsidRDefault="003E2CA0" w:rsidP="003E2CA0">
      <w:pPr>
        <w:jc w:val="both"/>
      </w:pPr>
      <w:r>
        <w:t xml:space="preserve">     I finanziamenti europei si suddividono in due grandi tipologie:</w:t>
      </w:r>
    </w:p>
    <w:p w:rsidR="003E2CA0" w:rsidRDefault="003E2CA0" w:rsidP="003E2CA0">
      <w:pPr>
        <w:jc w:val="both"/>
      </w:pPr>
    </w:p>
    <w:p w:rsidR="003E2CA0" w:rsidRDefault="003E2CA0" w:rsidP="003E2CA0">
      <w:pPr>
        <w:pStyle w:val="Paragrafoelenco"/>
        <w:numPr>
          <w:ilvl w:val="0"/>
          <w:numId w:val="9"/>
        </w:numPr>
        <w:jc w:val="both"/>
      </w:pPr>
      <w:r>
        <w:t>I finanziamenti diretti;</w:t>
      </w:r>
    </w:p>
    <w:p w:rsidR="003E2CA0" w:rsidRDefault="003E2CA0" w:rsidP="003E2CA0">
      <w:pPr>
        <w:pStyle w:val="Paragrafoelenco"/>
        <w:numPr>
          <w:ilvl w:val="0"/>
          <w:numId w:val="9"/>
        </w:numPr>
        <w:jc w:val="both"/>
      </w:pPr>
      <w:r>
        <w:t>I finanziamenti indiretti (o fondi strutturali).</w:t>
      </w:r>
    </w:p>
    <w:p w:rsidR="003E2CA0" w:rsidRDefault="003E2CA0" w:rsidP="003E2CA0">
      <w:pPr>
        <w:jc w:val="both"/>
      </w:pPr>
    </w:p>
    <w:p w:rsidR="003E2CA0" w:rsidRPr="00CC1446" w:rsidRDefault="003E2CA0" w:rsidP="003E2CA0">
      <w:pPr>
        <w:jc w:val="both"/>
        <w:rPr>
          <w:sz w:val="22"/>
          <w:szCs w:val="22"/>
        </w:rPr>
      </w:pPr>
      <w:r>
        <w:t xml:space="preserve">     </w:t>
      </w:r>
      <w:r w:rsidRPr="00CC1446">
        <w:rPr>
          <w:sz w:val="22"/>
          <w:szCs w:val="22"/>
        </w:rPr>
        <w:t xml:space="preserve">Le INIZIATIVE DIRETTE: sono finalizzate a risolvere problemi </w:t>
      </w:r>
      <w:proofErr w:type="gramStart"/>
      <w:r w:rsidRPr="00CC1446">
        <w:rPr>
          <w:sz w:val="22"/>
          <w:szCs w:val="22"/>
        </w:rPr>
        <w:t xml:space="preserve">di </w:t>
      </w:r>
      <w:proofErr w:type="gramEnd"/>
      <w:r w:rsidRPr="00CC1446">
        <w:rPr>
          <w:sz w:val="22"/>
          <w:szCs w:val="22"/>
        </w:rPr>
        <w:t>interesse comunitario lasciando ampio spazio alle iniziative dei singoli soggetti - Gestione diretta dei progetti da parte del partenariato europeo costituito.</w:t>
      </w:r>
    </w:p>
    <w:p w:rsidR="003E2CA0" w:rsidRPr="00CC1446" w:rsidRDefault="003E2CA0" w:rsidP="003E2CA0">
      <w:pPr>
        <w:jc w:val="both"/>
        <w:rPr>
          <w:sz w:val="22"/>
          <w:szCs w:val="22"/>
        </w:rPr>
      </w:pPr>
      <w:r w:rsidRPr="00CC1446">
        <w:rPr>
          <w:sz w:val="22"/>
          <w:szCs w:val="22"/>
        </w:rPr>
        <w:t xml:space="preserve">     Le INIZIATIVE INDIRETTE: si fondano essenzialmente su politiche strutturali finalizzate alla riduzione delle disparità economiche sostenendo le politiche nazionali e regionali – Gestione delegata alle singole nazioni.</w:t>
      </w:r>
    </w:p>
    <w:p w:rsidR="003E2CA0" w:rsidRPr="00CC1446" w:rsidRDefault="003E2CA0" w:rsidP="003E2CA0">
      <w:pPr>
        <w:jc w:val="both"/>
        <w:rPr>
          <w:sz w:val="22"/>
          <w:szCs w:val="22"/>
        </w:rPr>
      </w:pPr>
    </w:p>
    <w:p w:rsidR="003E2CA0" w:rsidRPr="00CC1446" w:rsidRDefault="003E2CA0" w:rsidP="003E2CA0">
      <w:pPr>
        <w:jc w:val="both"/>
        <w:rPr>
          <w:sz w:val="22"/>
          <w:szCs w:val="22"/>
        </w:rPr>
      </w:pPr>
      <w:r w:rsidRPr="00CC1446">
        <w:rPr>
          <w:sz w:val="22"/>
          <w:szCs w:val="22"/>
        </w:rPr>
        <w:t xml:space="preserve">     Le principali caratteristiche dei fondi diretti sono:</w:t>
      </w:r>
    </w:p>
    <w:p w:rsidR="003E2CA0" w:rsidRPr="00CC1446" w:rsidRDefault="003E2CA0" w:rsidP="003E2CA0">
      <w:pPr>
        <w:jc w:val="both"/>
        <w:rPr>
          <w:sz w:val="22"/>
          <w:szCs w:val="22"/>
        </w:rPr>
      </w:pPr>
    </w:p>
    <w:p w:rsidR="003E2CA0" w:rsidRPr="00CC1446" w:rsidRDefault="003E2CA0" w:rsidP="003E2CA0">
      <w:pPr>
        <w:numPr>
          <w:ilvl w:val="0"/>
          <w:numId w:val="10"/>
        </w:numPr>
        <w:jc w:val="both"/>
        <w:rPr>
          <w:sz w:val="22"/>
          <w:szCs w:val="22"/>
        </w:rPr>
      </w:pPr>
      <w:r w:rsidRPr="00CC1446">
        <w:rPr>
          <w:sz w:val="22"/>
          <w:szCs w:val="22"/>
        </w:rPr>
        <w:t xml:space="preserve">L’obiettivo del progetto, che deve essere in linea con le </w:t>
      </w:r>
      <w:proofErr w:type="gramStart"/>
      <w:r w:rsidRPr="00CC1446">
        <w:rPr>
          <w:sz w:val="22"/>
          <w:szCs w:val="22"/>
        </w:rPr>
        <w:t>linee</w:t>
      </w:r>
      <w:proofErr w:type="gramEnd"/>
      <w:r w:rsidRPr="00CC1446">
        <w:rPr>
          <w:sz w:val="22"/>
          <w:szCs w:val="22"/>
        </w:rPr>
        <w:t xml:space="preserve"> guida lanciate dalla Comunità Europea;</w:t>
      </w:r>
    </w:p>
    <w:p w:rsidR="003E2CA0" w:rsidRPr="00CC1446" w:rsidRDefault="003E2CA0" w:rsidP="003E2CA0">
      <w:pPr>
        <w:numPr>
          <w:ilvl w:val="0"/>
          <w:numId w:val="10"/>
        </w:numPr>
        <w:jc w:val="both"/>
        <w:rPr>
          <w:sz w:val="22"/>
          <w:szCs w:val="22"/>
        </w:rPr>
      </w:pPr>
      <w:proofErr w:type="gramStart"/>
      <w:r w:rsidRPr="00CC1446">
        <w:rPr>
          <w:sz w:val="22"/>
          <w:szCs w:val="22"/>
        </w:rPr>
        <w:t>Il partenariato, ossia il team di lavoro, il numero dei partner e le loro caratteristiche stabilito in ogni bando;</w:t>
      </w:r>
      <w:proofErr w:type="gramEnd"/>
    </w:p>
    <w:p w:rsidR="003E2CA0" w:rsidRPr="00CC1446" w:rsidRDefault="003E2CA0" w:rsidP="003E2CA0">
      <w:pPr>
        <w:numPr>
          <w:ilvl w:val="0"/>
          <w:numId w:val="10"/>
        </w:numPr>
        <w:jc w:val="both"/>
        <w:rPr>
          <w:sz w:val="22"/>
          <w:szCs w:val="22"/>
        </w:rPr>
      </w:pPr>
      <w:r w:rsidRPr="00CC1446">
        <w:rPr>
          <w:sz w:val="22"/>
          <w:szCs w:val="22"/>
        </w:rPr>
        <w:t xml:space="preserve">Il co-finanziamento (ad esempio il programma Leonardo 2007-2013 finanziava progetti fino </w:t>
      </w:r>
      <w:proofErr w:type="gramStart"/>
      <w:r w:rsidRPr="00CC1446">
        <w:rPr>
          <w:sz w:val="22"/>
          <w:szCs w:val="22"/>
        </w:rPr>
        <w:t>ad</w:t>
      </w:r>
      <w:proofErr w:type="gramEnd"/>
      <w:r w:rsidRPr="00CC1446">
        <w:rPr>
          <w:sz w:val="22"/>
          <w:szCs w:val="22"/>
        </w:rPr>
        <w:t xml:space="preserve"> un massimo del 75% del valore del progetto).</w:t>
      </w:r>
    </w:p>
    <w:p w:rsidR="003E2CA0" w:rsidRPr="00CC1446" w:rsidRDefault="003E2CA0" w:rsidP="003E2CA0">
      <w:pPr>
        <w:rPr>
          <w:sz w:val="22"/>
          <w:szCs w:val="22"/>
        </w:rPr>
      </w:pPr>
    </w:p>
    <w:p w:rsidR="003E2CA0" w:rsidRPr="00CC1446" w:rsidRDefault="003E2CA0" w:rsidP="003E2CA0">
      <w:pPr>
        <w:jc w:val="both"/>
        <w:rPr>
          <w:sz w:val="22"/>
          <w:szCs w:val="22"/>
        </w:rPr>
      </w:pPr>
      <w:r w:rsidRPr="00CC1446">
        <w:rPr>
          <w:sz w:val="22"/>
          <w:szCs w:val="22"/>
        </w:rPr>
        <w:t xml:space="preserve">     Nel periodo che va dal 2007 al </w:t>
      </w:r>
      <w:proofErr w:type="gramStart"/>
      <w:r w:rsidRPr="00CC1446">
        <w:rPr>
          <w:sz w:val="22"/>
          <w:szCs w:val="22"/>
        </w:rPr>
        <w:t>2013</w:t>
      </w:r>
      <w:proofErr w:type="gramEnd"/>
      <w:r w:rsidRPr="00CC1446">
        <w:rPr>
          <w:sz w:val="22"/>
          <w:szCs w:val="22"/>
        </w:rPr>
        <w:t xml:space="preserve"> sono stati stanziati miliardi di contributi: 6 milioni di euro sono stati messi a disposizione per combattere l'uso illegale di Internet, 9,5 milioni per aggredire la criminalità finanziaria, 5,5 per contrastare "l'estremismo violento". </w:t>
      </w:r>
    </w:p>
    <w:p w:rsidR="003E2CA0" w:rsidRPr="00CC1446" w:rsidRDefault="003E2CA0" w:rsidP="003E2CA0">
      <w:pPr>
        <w:jc w:val="both"/>
        <w:rPr>
          <w:sz w:val="22"/>
          <w:szCs w:val="22"/>
        </w:rPr>
      </w:pPr>
      <w:r w:rsidRPr="00CC1446">
        <w:rPr>
          <w:sz w:val="22"/>
          <w:szCs w:val="22"/>
        </w:rPr>
        <w:t xml:space="preserve">     Attraverso i fondi strutturali nello stesso periodo sono stati stanziati 308,3 miliardi di euro, di cui quasi </w:t>
      </w:r>
      <w:proofErr w:type="gramStart"/>
      <w:r w:rsidRPr="00CC1446">
        <w:rPr>
          <w:sz w:val="22"/>
          <w:szCs w:val="22"/>
        </w:rPr>
        <w:t>60</w:t>
      </w:r>
      <w:proofErr w:type="gramEnd"/>
      <w:r w:rsidRPr="00CC1446">
        <w:rPr>
          <w:sz w:val="22"/>
          <w:szCs w:val="22"/>
        </w:rPr>
        <w:t xml:space="preserve"> per i programmi italiani. </w:t>
      </w:r>
    </w:p>
    <w:p w:rsidR="003E2CA0" w:rsidRPr="00CC1446" w:rsidRDefault="003E2CA0" w:rsidP="003E2CA0">
      <w:pPr>
        <w:jc w:val="both"/>
        <w:rPr>
          <w:sz w:val="22"/>
          <w:szCs w:val="22"/>
        </w:rPr>
      </w:pPr>
    </w:p>
    <w:p w:rsidR="003E2CA0" w:rsidRPr="00CC1446" w:rsidRDefault="003E2CA0" w:rsidP="003E2CA0">
      <w:pPr>
        <w:jc w:val="both"/>
        <w:rPr>
          <w:sz w:val="22"/>
          <w:szCs w:val="22"/>
        </w:rPr>
      </w:pPr>
      <w:r w:rsidRPr="00CC1446">
        <w:rPr>
          <w:sz w:val="22"/>
          <w:szCs w:val="22"/>
        </w:rPr>
        <w:t xml:space="preserve">     Il budget previsto per il settennio 2014-2020 ammonta a 959.99 miliardi di Euro in impegno finanziario e 908.40 miliardi di Euro in pagamenti, entrambi in calo di oltre il 3% rispetto alla programmazione del 2007-2013 in seguito alla pressione economica e fiscale sostenuta dagli Stati membri. Tuttavia, si è deciso di incrementare di ben il 37% </w:t>
      </w:r>
      <w:proofErr w:type="gramStart"/>
      <w:r w:rsidRPr="00CC1446">
        <w:rPr>
          <w:sz w:val="22"/>
          <w:szCs w:val="22"/>
        </w:rPr>
        <w:t>il settore “competitività</w:t>
      </w:r>
      <w:proofErr w:type="gramEnd"/>
      <w:r w:rsidRPr="00CC1446">
        <w:rPr>
          <w:sz w:val="22"/>
          <w:szCs w:val="22"/>
        </w:rPr>
        <w:t xml:space="preserve">”, destinato a spingere verso la crescita, creare nuovi posti di lavoro e quindi promuovere l’occupazione. Tale budget sarà suddiviso su circa </w:t>
      </w:r>
      <w:proofErr w:type="gramStart"/>
      <w:r w:rsidRPr="00CC1446">
        <w:rPr>
          <w:sz w:val="22"/>
          <w:szCs w:val="22"/>
        </w:rPr>
        <w:t>70</w:t>
      </w:r>
      <w:proofErr w:type="gramEnd"/>
      <w:r w:rsidRPr="00CC1446">
        <w:rPr>
          <w:sz w:val="22"/>
          <w:szCs w:val="22"/>
        </w:rPr>
        <w:t xml:space="preserve"> programmi comunitari.</w:t>
      </w:r>
    </w:p>
    <w:p w:rsidR="003E2CA0" w:rsidRPr="00CC1446" w:rsidRDefault="003E2CA0" w:rsidP="003E2CA0">
      <w:pPr>
        <w:jc w:val="both"/>
        <w:rPr>
          <w:sz w:val="22"/>
          <w:szCs w:val="22"/>
        </w:rPr>
      </w:pPr>
      <w:r w:rsidRPr="00CC1446">
        <w:rPr>
          <w:sz w:val="22"/>
          <w:szCs w:val="22"/>
        </w:rPr>
        <w:t xml:space="preserve">     L’Unione Europea stanzierà per la nuova programmazione finanziaria 2014-2020 un budget di 322 miliardi di euro, da ridistribuire nei vari fondi FESR (Fondo europeo per lo sviluppo regionale), FSE (Fondo sociale europeo) e Fondo di Coesione. </w:t>
      </w:r>
    </w:p>
    <w:p w:rsidR="003E2CA0" w:rsidRPr="00CC1446" w:rsidRDefault="003E2CA0" w:rsidP="003E2CA0">
      <w:pPr>
        <w:jc w:val="both"/>
        <w:rPr>
          <w:sz w:val="22"/>
          <w:szCs w:val="22"/>
        </w:rPr>
      </w:pPr>
      <w:r w:rsidRPr="00CC1446">
        <w:rPr>
          <w:sz w:val="22"/>
          <w:szCs w:val="22"/>
        </w:rPr>
        <w:t xml:space="preserve">     Tali finanziamenti saranno erogati in misura proporzionale sulla base del bisogno di ogni regione e del loro grado di sviluppo. La Commissione europea, quindi, ha proposto un quadro regolatore per i Fondi Strutturali, che si compone di </w:t>
      </w:r>
      <w:proofErr w:type="gramStart"/>
      <w:r w:rsidRPr="00CC1446">
        <w:rPr>
          <w:sz w:val="22"/>
          <w:szCs w:val="22"/>
        </w:rPr>
        <w:t>11</w:t>
      </w:r>
      <w:proofErr w:type="gramEnd"/>
      <w:r w:rsidRPr="00CC1446">
        <w:rPr>
          <w:sz w:val="22"/>
          <w:szCs w:val="22"/>
        </w:rPr>
        <w:t xml:space="preserve"> Obiettivi Tematici, descritti nel paragrafo dedicato alla nuova programmazione. </w:t>
      </w:r>
    </w:p>
    <w:p w:rsidR="003E2CA0" w:rsidRPr="00CC1446" w:rsidRDefault="003E2CA0" w:rsidP="003E2CA0">
      <w:pPr>
        <w:jc w:val="both"/>
        <w:rPr>
          <w:sz w:val="22"/>
          <w:szCs w:val="22"/>
        </w:rPr>
      </w:pPr>
      <w:r w:rsidRPr="00CC1446">
        <w:rPr>
          <w:sz w:val="22"/>
          <w:szCs w:val="22"/>
        </w:rPr>
        <w:t xml:space="preserve">     Sarà previsto un maggiore sostegno degli investimenti legati </w:t>
      </w:r>
      <w:proofErr w:type="gramStart"/>
      <w:r w:rsidRPr="00CC1446">
        <w:rPr>
          <w:sz w:val="22"/>
          <w:szCs w:val="22"/>
        </w:rPr>
        <w:t>ad</w:t>
      </w:r>
      <w:proofErr w:type="gramEnd"/>
      <w:r w:rsidRPr="00CC1446">
        <w:rPr>
          <w:sz w:val="22"/>
          <w:szCs w:val="22"/>
        </w:rPr>
        <w:t xml:space="preserve"> obiettivi energetici europei, nell’ottica di una progressiva transizione verso un'economia a basse emissioni di carbonio in tutti i settori, con una particolare attenzione per le energie rinnovabili, l'</w:t>
      </w:r>
      <w:proofErr w:type="spellStart"/>
      <w:r w:rsidRPr="00CC1446">
        <w:rPr>
          <w:sz w:val="22"/>
          <w:szCs w:val="22"/>
        </w:rPr>
        <w:t>efficientamento</w:t>
      </w:r>
      <w:proofErr w:type="spellEnd"/>
      <w:r w:rsidRPr="00CC1446">
        <w:rPr>
          <w:sz w:val="22"/>
          <w:szCs w:val="22"/>
        </w:rPr>
        <w:t xml:space="preserve"> energetico e le reti intelligenti a livello di distribuzione.</w:t>
      </w:r>
    </w:p>
    <w:p w:rsidR="003E2CA0" w:rsidRPr="00CC1446" w:rsidRDefault="003E2CA0" w:rsidP="003E2CA0">
      <w:pPr>
        <w:jc w:val="both"/>
        <w:rPr>
          <w:sz w:val="22"/>
          <w:szCs w:val="22"/>
        </w:rPr>
      </w:pPr>
      <w:r w:rsidRPr="00CC1446">
        <w:rPr>
          <w:sz w:val="22"/>
          <w:szCs w:val="22"/>
        </w:rPr>
        <w:t xml:space="preserve">      La Commissione ha previsto, inoltre, documentazioni programmatiche per ogni Stato membro atte a stabilire una base di partenza per un dialogo costruttivo in preparazione degli accordi di partenariato, che lo Stato membro dovrà stringere con l’Unione, </w:t>
      </w:r>
      <w:proofErr w:type="gramStart"/>
      <w:r w:rsidRPr="00CC1446">
        <w:rPr>
          <w:sz w:val="22"/>
          <w:szCs w:val="22"/>
        </w:rPr>
        <w:t>sulla base di</w:t>
      </w:r>
      <w:proofErr w:type="gramEnd"/>
      <w:r w:rsidRPr="00CC1446">
        <w:rPr>
          <w:sz w:val="22"/>
          <w:szCs w:val="22"/>
        </w:rPr>
        <w:t xml:space="preserve"> valutazioni ex ante circa il mercato e la possibilità di partecipazione di privati.</w:t>
      </w:r>
    </w:p>
    <w:p w:rsidR="003E2CA0" w:rsidRPr="0064632A" w:rsidRDefault="003E2CA0" w:rsidP="003E2CA0">
      <w:pPr>
        <w:jc w:val="both"/>
      </w:pPr>
      <w:r w:rsidRPr="0064632A">
        <w:t xml:space="preserve">     </w:t>
      </w:r>
      <w:r w:rsidRPr="00CC1446">
        <w:rPr>
          <w:sz w:val="22"/>
          <w:szCs w:val="22"/>
        </w:rPr>
        <w:t>Ogni Stato membro, dopo aver realizzato l’accordo di partenariato, deve aprire un tavolo di consultazione da condurre a livello nazionale, regionale e locale dalle autorità</w:t>
      </w:r>
      <w:r>
        <w:rPr>
          <w:sz w:val="22"/>
          <w:szCs w:val="22"/>
        </w:rPr>
        <w:t xml:space="preserve"> competenti e dagli stakeholder</w:t>
      </w:r>
      <w:r w:rsidRPr="00CC1446">
        <w:rPr>
          <w:sz w:val="22"/>
          <w:szCs w:val="22"/>
        </w:rPr>
        <w:t xml:space="preserve"> interessati, che si </w:t>
      </w:r>
      <w:proofErr w:type="gramStart"/>
      <w:r w:rsidRPr="00CC1446">
        <w:rPr>
          <w:sz w:val="22"/>
          <w:szCs w:val="22"/>
        </w:rPr>
        <w:t>concretizzi</w:t>
      </w:r>
      <w:proofErr w:type="gramEnd"/>
      <w:r w:rsidRPr="00CC1446">
        <w:rPr>
          <w:sz w:val="22"/>
          <w:szCs w:val="22"/>
        </w:rPr>
        <w:t xml:space="preserve"> nella realizzazione di Programmi Operativi che delineino le priorità da adottare per la allocazione dei Fondi Strutturali.</w:t>
      </w:r>
    </w:p>
    <w:p w:rsidR="003E2CA0" w:rsidRDefault="003E2CA0" w:rsidP="003E2CA0">
      <w:pPr>
        <w:tabs>
          <w:tab w:val="left" w:pos="1380"/>
        </w:tabs>
        <w:spacing w:line="240" w:lineRule="exact"/>
        <w:jc w:val="both"/>
        <w:rPr>
          <w:rFonts w:ascii="Arial" w:hAnsi="Arial" w:cs="Arial"/>
          <w:b/>
          <w:sz w:val="22"/>
          <w:szCs w:val="20"/>
        </w:rPr>
      </w:pPr>
    </w:p>
    <w:p w:rsidR="003E2CA0" w:rsidRPr="009159CA" w:rsidRDefault="003E2CA0" w:rsidP="003E2CA0">
      <w:pPr>
        <w:jc w:val="both"/>
        <w:rPr>
          <w:sz w:val="22"/>
          <w:szCs w:val="22"/>
        </w:rPr>
      </w:pPr>
      <w:r>
        <w:rPr>
          <w:sz w:val="22"/>
          <w:szCs w:val="22"/>
        </w:rPr>
        <w:t xml:space="preserve">   </w:t>
      </w:r>
      <w:r w:rsidRPr="009159CA">
        <w:rPr>
          <w:sz w:val="22"/>
          <w:szCs w:val="22"/>
        </w:rPr>
        <w:t>Come affermato nel capitolo precedente, la crisi che ha coinvolto l'intera Europa ha generato una rimodulazione degli obiettivi strategici da adottare.</w:t>
      </w:r>
    </w:p>
    <w:p w:rsidR="003E2CA0" w:rsidRDefault="003E2CA0" w:rsidP="003E2CA0">
      <w:pPr>
        <w:jc w:val="both"/>
        <w:rPr>
          <w:sz w:val="22"/>
          <w:szCs w:val="22"/>
        </w:rPr>
      </w:pPr>
    </w:p>
    <w:p w:rsidR="003E2CA0" w:rsidRPr="00CC1446" w:rsidRDefault="003E2CA0" w:rsidP="003E2CA0">
      <w:pPr>
        <w:spacing w:line="280" w:lineRule="exact"/>
        <w:jc w:val="both"/>
        <w:rPr>
          <w:rFonts w:ascii="Arial" w:hAnsi="Arial" w:cs="Arial"/>
          <w:b/>
          <w:iCs/>
          <w:sz w:val="22"/>
          <w:szCs w:val="22"/>
        </w:rPr>
      </w:pPr>
      <w:r>
        <w:rPr>
          <w:rFonts w:ascii="Arial" w:hAnsi="Arial" w:cs="Arial"/>
          <w:b/>
          <w:iCs/>
          <w:sz w:val="22"/>
          <w:szCs w:val="22"/>
        </w:rPr>
        <w:t>La nuova programmazione 2014-2020</w:t>
      </w:r>
    </w:p>
    <w:p w:rsidR="003E2CA0" w:rsidRDefault="003E2CA0" w:rsidP="003E2CA0">
      <w:pPr>
        <w:jc w:val="both"/>
        <w:rPr>
          <w:sz w:val="22"/>
          <w:szCs w:val="22"/>
        </w:rPr>
      </w:pPr>
    </w:p>
    <w:p w:rsidR="003E2CA0" w:rsidRPr="009159CA" w:rsidRDefault="003E2CA0" w:rsidP="003E2CA0">
      <w:pPr>
        <w:jc w:val="both"/>
        <w:rPr>
          <w:sz w:val="22"/>
          <w:szCs w:val="22"/>
        </w:rPr>
      </w:pPr>
      <w:r>
        <w:rPr>
          <w:sz w:val="22"/>
          <w:szCs w:val="22"/>
        </w:rPr>
        <w:t xml:space="preserve">   </w:t>
      </w:r>
      <w:r w:rsidRPr="009159CA">
        <w:rPr>
          <w:sz w:val="22"/>
          <w:szCs w:val="22"/>
        </w:rPr>
        <w:t>I lavori di preparazione per la nuova programmazione 2014-2020 sono ufficialmente iniziati il 17 dicembre 2012 con la presentazione di un documento “Metodi e obiettivi per un uso efficace dei Fondi comunitari 2014-2020</w:t>
      </w:r>
      <w:proofErr w:type="gramStart"/>
      <w:r w:rsidRPr="009159CA">
        <w:rPr>
          <w:sz w:val="22"/>
          <w:szCs w:val="22"/>
        </w:rPr>
        <w:t>”</w:t>
      </w:r>
      <w:proofErr w:type="gramEnd"/>
      <w:r w:rsidRPr="009159CA">
        <w:rPr>
          <w:sz w:val="22"/>
          <w:szCs w:val="22"/>
        </w:rPr>
        <w:footnoteReference w:id="3"/>
      </w:r>
      <w:r w:rsidRPr="009159CA">
        <w:rPr>
          <w:sz w:val="22"/>
          <w:szCs w:val="22"/>
        </w:rPr>
        <w:t xml:space="preserve">. Questo è andato a </w:t>
      </w:r>
      <w:proofErr w:type="gramStart"/>
      <w:r w:rsidRPr="009159CA">
        <w:rPr>
          <w:sz w:val="22"/>
          <w:szCs w:val="22"/>
        </w:rPr>
        <w:t>delineare</w:t>
      </w:r>
      <w:proofErr w:type="gramEnd"/>
      <w:r w:rsidRPr="009159CA">
        <w:rPr>
          <w:sz w:val="22"/>
          <w:szCs w:val="22"/>
        </w:rPr>
        <w:t xml:space="preserve">, in maniera precisa, le innovazioni sia a carattere generale che relativo a ogni singolo obiettivo comunitario. </w:t>
      </w:r>
    </w:p>
    <w:p w:rsidR="003E2CA0" w:rsidRPr="009159CA" w:rsidRDefault="003E2CA0" w:rsidP="003E2CA0">
      <w:pPr>
        <w:jc w:val="both"/>
        <w:rPr>
          <w:sz w:val="22"/>
          <w:szCs w:val="22"/>
        </w:rPr>
      </w:pPr>
      <w:r>
        <w:rPr>
          <w:sz w:val="22"/>
          <w:szCs w:val="22"/>
        </w:rPr>
        <w:t xml:space="preserve">   </w:t>
      </w:r>
      <w:r w:rsidRPr="009159CA">
        <w:rPr>
          <w:sz w:val="22"/>
          <w:szCs w:val="22"/>
        </w:rPr>
        <w:t>Il documento analizza:</w:t>
      </w:r>
    </w:p>
    <w:p w:rsidR="003E2CA0" w:rsidRPr="009159CA" w:rsidRDefault="003E2CA0" w:rsidP="003E2CA0">
      <w:pPr>
        <w:pStyle w:val="Paragrafoelenco"/>
        <w:numPr>
          <w:ilvl w:val="0"/>
          <w:numId w:val="16"/>
        </w:numPr>
        <w:jc w:val="both"/>
        <w:rPr>
          <w:sz w:val="22"/>
          <w:szCs w:val="22"/>
        </w:rPr>
      </w:pPr>
      <w:proofErr w:type="gramStart"/>
      <w:r w:rsidRPr="009159CA">
        <w:rPr>
          <w:sz w:val="22"/>
          <w:szCs w:val="22"/>
        </w:rPr>
        <w:t>sette</w:t>
      </w:r>
      <w:proofErr w:type="gramEnd"/>
      <w:r w:rsidRPr="009159CA">
        <w:rPr>
          <w:sz w:val="22"/>
          <w:szCs w:val="22"/>
        </w:rPr>
        <w:t xml:space="preserve"> innovazioni di metodo;</w:t>
      </w:r>
    </w:p>
    <w:p w:rsidR="003E2CA0" w:rsidRPr="009159CA" w:rsidRDefault="003E2CA0" w:rsidP="003E2CA0">
      <w:pPr>
        <w:pStyle w:val="Paragrafoelenco"/>
        <w:numPr>
          <w:ilvl w:val="0"/>
          <w:numId w:val="16"/>
        </w:numPr>
        <w:jc w:val="both"/>
        <w:rPr>
          <w:sz w:val="22"/>
          <w:szCs w:val="22"/>
        </w:rPr>
      </w:pPr>
      <w:proofErr w:type="gramStart"/>
      <w:r w:rsidRPr="009159CA">
        <w:rPr>
          <w:sz w:val="22"/>
          <w:szCs w:val="22"/>
        </w:rPr>
        <w:t>ipotesi</w:t>
      </w:r>
      <w:proofErr w:type="gramEnd"/>
      <w:r w:rsidRPr="009159CA">
        <w:rPr>
          <w:sz w:val="22"/>
          <w:szCs w:val="22"/>
        </w:rPr>
        <w:t xml:space="preserve"> di metodo e operative in merito alle undici aree tematiche individuate dall'UE;</w:t>
      </w:r>
    </w:p>
    <w:p w:rsidR="003E2CA0" w:rsidRPr="009159CA" w:rsidRDefault="003E2CA0" w:rsidP="003E2CA0">
      <w:pPr>
        <w:pStyle w:val="Paragrafoelenco"/>
        <w:numPr>
          <w:ilvl w:val="0"/>
          <w:numId w:val="16"/>
        </w:numPr>
        <w:jc w:val="both"/>
        <w:rPr>
          <w:sz w:val="22"/>
          <w:szCs w:val="22"/>
        </w:rPr>
      </w:pPr>
      <w:proofErr w:type="gramStart"/>
      <w:r w:rsidRPr="009159CA">
        <w:rPr>
          <w:sz w:val="22"/>
          <w:szCs w:val="22"/>
        </w:rPr>
        <w:t>tre</w:t>
      </w:r>
      <w:proofErr w:type="gramEnd"/>
      <w:r w:rsidRPr="009159CA">
        <w:rPr>
          <w:sz w:val="22"/>
          <w:szCs w:val="22"/>
        </w:rPr>
        <w:t xml:space="preserve"> opzioni strategiche per il Mezzogiorno, città e aree interne.</w:t>
      </w:r>
    </w:p>
    <w:p w:rsidR="003E2CA0" w:rsidRDefault="003E2CA0" w:rsidP="003E2CA0">
      <w:pPr>
        <w:pStyle w:val="Paragrafoelenco"/>
        <w:spacing w:line="280" w:lineRule="exact"/>
        <w:ind w:left="1004"/>
        <w:jc w:val="both"/>
      </w:pPr>
    </w:p>
    <w:p w:rsidR="003E2CA0" w:rsidRDefault="003E2CA0" w:rsidP="003E2CA0">
      <w:pPr>
        <w:spacing w:line="280" w:lineRule="exact"/>
        <w:ind w:firstLine="284"/>
        <w:jc w:val="both"/>
        <w:rPr>
          <w:b/>
          <w:i/>
        </w:rPr>
      </w:pPr>
    </w:p>
    <w:p w:rsidR="003E2CA0" w:rsidRPr="00834C30" w:rsidRDefault="003E2CA0" w:rsidP="003E2CA0">
      <w:pPr>
        <w:spacing w:line="280" w:lineRule="exact"/>
        <w:ind w:firstLine="284"/>
        <w:jc w:val="both"/>
      </w:pPr>
      <w:r w:rsidRPr="00834C30">
        <w:rPr>
          <w:b/>
          <w:i/>
        </w:rPr>
        <w:t xml:space="preserve"> </w:t>
      </w:r>
      <w:r>
        <w:rPr>
          <w:b/>
          <w:i/>
        </w:rPr>
        <w:t>Le innovazioni di metodo</w:t>
      </w:r>
      <w:r>
        <w:rPr>
          <w:b/>
          <w:i/>
        </w:rPr>
        <w:fldChar w:fldCharType="begin"/>
      </w:r>
      <w:r>
        <w:instrText xml:space="preserve"> XE "</w:instrText>
      </w:r>
      <w:r>
        <w:rPr>
          <w:b/>
          <w:i/>
        </w:rPr>
        <w:instrText>4</w:instrText>
      </w:r>
      <w:r w:rsidRPr="00834C30">
        <w:rPr>
          <w:b/>
          <w:i/>
        </w:rPr>
        <w:instrText xml:space="preserve">.1 </w:instrText>
      </w:r>
      <w:r>
        <w:rPr>
          <w:b/>
          <w:i/>
        </w:rPr>
        <w:instrText>Le innovazioni di metodo</w:instrText>
      </w:r>
      <w:r>
        <w:instrText xml:space="preserve">" </w:instrText>
      </w:r>
      <w:r>
        <w:rPr>
          <w:b/>
          <w:i/>
        </w:rPr>
        <w:fldChar w:fldCharType="end"/>
      </w:r>
    </w:p>
    <w:p w:rsidR="003E2CA0" w:rsidRPr="00834C30" w:rsidRDefault="003E2CA0" w:rsidP="003E2CA0">
      <w:pPr>
        <w:spacing w:line="280" w:lineRule="exact"/>
        <w:ind w:firstLine="284"/>
        <w:jc w:val="both"/>
      </w:pPr>
    </w:p>
    <w:p w:rsidR="003E2CA0" w:rsidRPr="009159CA" w:rsidRDefault="003E2CA0" w:rsidP="003E2CA0">
      <w:pPr>
        <w:jc w:val="both"/>
        <w:rPr>
          <w:sz w:val="22"/>
          <w:szCs w:val="22"/>
        </w:rPr>
      </w:pPr>
      <w:r>
        <w:rPr>
          <w:sz w:val="22"/>
          <w:szCs w:val="22"/>
        </w:rPr>
        <w:t xml:space="preserve">   </w:t>
      </w:r>
      <w:r w:rsidRPr="009159CA">
        <w:rPr>
          <w:sz w:val="22"/>
          <w:szCs w:val="22"/>
        </w:rPr>
        <w:t xml:space="preserve">Le innovazioni di metodo mirano a creare in tutti i cittadini pari opportunità, efficace gestione dei fondi europei e tentano di ampliare gli scenari per tutti </w:t>
      </w:r>
      <w:proofErr w:type="gramStart"/>
      <w:r w:rsidRPr="009159CA">
        <w:rPr>
          <w:sz w:val="22"/>
          <w:szCs w:val="22"/>
        </w:rPr>
        <w:t>coloro</w:t>
      </w:r>
      <w:proofErr w:type="gramEnd"/>
      <w:r w:rsidRPr="009159CA">
        <w:rPr>
          <w:sz w:val="22"/>
          <w:szCs w:val="22"/>
        </w:rPr>
        <w:t xml:space="preserve"> che sono gli ideatori di nuovi prodotti. </w:t>
      </w:r>
    </w:p>
    <w:p w:rsidR="003E2CA0" w:rsidRPr="009159CA" w:rsidRDefault="003E2CA0" w:rsidP="003E2CA0">
      <w:pPr>
        <w:jc w:val="both"/>
        <w:rPr>
          <w:sz w:val="22"/>
          <w:szCs w:val="22"/>
        </w:rPr>
      </w:pPr>
      <w:r w:rsidRPr="009159CA">
        <w:rPr>
          <w:sz w:val="22"/>
          <w:szCs w:val="22"/>
        </w:rPr>
        <w:t>Sono sette i metodi presi in esame:</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risultati</w:t>
      </w:r>
      <w:proofErr w:type="gramEnd"/>
      <w:r w:rsidRPr="00F32BCE">
        <w:rPr>
          <w:sz w:val="22"/>
          <w:szCs w:val="22"/>
        </w:rPr>
        <w:t xml:space="preserve"> attesi: gli obiettivi saranno definiti come risultati attesi che si intendono attuare in termini di qualità di vita delle persone e/o possibilità per le imprese;</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azioni</w:t>
      </w:r>
      <w:proofErr w:type="gramEnd"/>
      <w:r w:rsidRPr="00F32BCE">
        <w:rPr>
          <w:sz w:val="22"/>
          <w:szCs w:val="22"/>
        </w:rPr>
        <w:t xml:space="preserve">: i programmi operativi faranno capo oltre ai risultati attesi anche alle azioni con cui conseguirli. Sembrerebbe una banalità, ma il metodo in questione ha un carattere innovativo </w:t>
      </w:r>
      <w:proofErr w:type="gramStart"/>
      <w:r w:rsidRPr="00F32BCE">
        <w:rPr>
          <w:sz w:val="22"/>
          <w:szCs w:val="22"/>
        </w:rPr>
        <w:t>in quanto</w:t>
      </w:r>
      <w:proofErr w:type="gramEnd"/>
      <w:r w:rsidRPr="00F32BCE">
        <w:rPr>
          <w:sz w:val="22"/>
          <w:szCs w:val="22"/>
        </w:rPr>
        <w:t xml:space="preserve"> non verranno fornite più indicazioni generiche, bensì ad azioni precise che si intendono finanziare;</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tempi</w:t>
      </w:r>
      <w:proofErr w:type="gramEnd"/>
      <w:r w:rsidRPr="00F32BCE">
        <w:rPr>
          <w:sz w:val="22"/>
          <w:szCs w:val="22"/>
        </w:rPr>
        <w:t xml:space="preserve"> previsti e sorvegliati: questo potrebbe definirsi come uno dei mali dell'Italia. Saranno d'obbligo tempi ben cadenzati che </w:t>
      </w:r>
      <w:proofErr w:type="gramStart"/>
      <w:r w:rsidRPr="00F32BCE">
        <w:rPr>
          <w:sz w:val="22"/>
          <w:szCs w:val="22"/>
        </w:rPr>
        <w:t>verranno</w:t>
      </w:r>
      <w:proofErr w:type="gramEnd"/>
      <w:r w:rsidRPr="00F32BCE">
        <w:rPr>
          <w:sz w:val="22"/>
          <w:szCs w:val="22"/>
        </w:rPr>
        <w:t xml:space="preserve"> tradotti dalla Commissione in pagamenti;</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apertura</w:t>
      </w:r>
      <w:proofErr w:type="gramEnd"/>
      <w:r w:rsidRPr="00F32BCE">
        <w:rPr>
          <w:sz w:val="22"/>
          <w:szCs w:val="22"/>
        </w:rPr>
        <w:t>: le innovazioni in campo non sarebbero efficace senza il concetto di trasparenza e apertura delle informazioni a cui segue il</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partenariato</w:t>
      </w:r>
      <w:proofErr w:type="gramEnd"/>
      <w:r w:rsidRPr="00F32BCE">
        <w:rPr>
          <w:sz w:val="22"/>
          <w:szCs w:val="22"/>
        </w:rPr>
        <w:t xml:space="preserve"> mobilitato: assolutamente non una novità, ma in questa nuova programmazione l'intento è quello di averne reale attuazione</w:t>
      </w:r>
      <w:r>
        <w:rPr>
          <w:rStyle w:val="Rimandonotaapidipagina"/>
          <w:sz w:val="22"/>
          <w:szCs w:val="22"/>
        </w:rPr>
        <w:footnoteReference w:id="4"/>
      </w:r>
      <w:r>
        <w:rPr>
          <w:sz w:val="16"/>
          <w:szCs w:val="16"/>
        </w:rPr>
        <w:t>;</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valutazione</w:t>
      </w:r>
      <w:proofErr w:type="gramEnd"/>
      <w:r w:rsidRPr="00F32BCE">
        <w:rPr>
          <w:sz w:val="22"/>
          <w:szCs w:val="22"/>
        </w:rPr>
        <w:t xml:space="preserve"> di impatto: esplicitare i risultati attesi orienterà il focus della valutazione di impatto, qualunque sia il metodo adottato. L’avvio della valutazione d’impatto contemporaneamente all’attività di programmazione, contribuirà a inserire la valutazione e i suoi esiti nelle scelte e confronto sulle azioni pubbliche;</w:t>
      </w:r>
    </w:p>
    <w:p w:rsidR="003E2CA0" w:rsidRPr="00F32BCE" w:rsidRDefault="003E2CA0" w:rsidP="003E2CA0">
      <w:pPr>
        <w:pStyle w:val="Paragrafoelenco"/>
        <w:numPr>
          <w:ilvl w:val="0"/>
          <w:numId w:val="17"/>
        </w:numPr>
        <w:jc w:val="both"/>
        <w:rPr>
          <w:sz w:val="22"/>
          <w:szCs w:val="22"/>
        </w:rPr>
      </w:pPr>
      <w:proofErr w:type="gramStart"/>
      <w:r w:rsidRPr="00F32BCE">
        <w:rPr>
          <w:sz w:val="22"/>
          <w:szCs w:val="22"/>
        </w:rPr>
        <w:t>forte</w:t>
      </w:r>
      <w:proofErr w:type="gramEnd"/>
      <w:r w:rsidRPr="00F32BCE">
        <w:rPr>
          <w:sz w:val="22"/>
          <w:szCs w:val="22"/>
        </w:rPr>
        <w:t xml:space="preserve"> presidio nazionale:  è stata consolidata la natura non contrattabile presente nell'Accordo di partenariato, una maggiore co-progettazione strategica territoriale. </w:t>
      </w:r>
    </w:p>
    <w:p w:rsidR="003E2CA0" w:rsidRDefault="003E2CA0" w:rsidP="003E2CA0">
      <w:pPr>
        <w:spacing w:line="280" w:lineRule="exact"/>
        <w:ind w:firstLine="284"/>
        <w:jc w:val="both"/>
      </w:pPr>
    </w:p>
    <w:p w:rsidR="003E2CA0" w:rsidRDefault="003E2CA0" w:rsidP="003E2CA0">
      <w:pPr>
        <w:spacing w:line="280" w:lineRule="exact"/>
        <w:ind w:firstLine="284"/>
        <w:jc w:val="both"/>
      </w:pPr>
    </w:p>
    <w:p w:rsidR="003E2CA0" w:rsidRPr="00834C30" w:rsidRDefault="003E2CA0" w:rsidP="003E2CA0">
      <w:pPr>
        <w:spacing w:line="280" w:lineRule="exact"/>
        <w:ind w:firstLine="284"/>
        <w:jc w:val="both"/>
        <w:rPr>
          <w:b/>
          <w:i/>
        </w:rPr>
      </w:pPr>
      <w:r>
        <w:rPr>
          <w:b/>
          <w:i/>
        </w:rPr>
        <w:t xml:space="preserve"> Le aree tematiche</w:t>
      </w:r>
      <w:r>
        <w:rPr>
          <w:b/>
          <w:i/>
        </w:rPr>
        <w:fldChar w:fldCharType="begin"/>
      </w:r>
      <w:r>
        <w:instrText xml:space="preserve"> XE "</w:instrText>
      </w:r>
      <w:r>
        <w:rPr>
          <w:b/>
          <w:i/>
        </w:rPr>
        <w:instrText>4.2 Le aree tematiche</w:instrText>
      </w:r>
      <w:r>
        <w:instrText xml:space="preserve">" </w:instrText>
      </w:r>
      <w:r>
        <w:rPr>
          <w:b/>
          <w:i/>
        </w:rPr>
        <w:fldChar w:fldCharType="end"/>
      </w:r>
    </w:p>
    <w:p w:rsidR="003E2CA0" w:rsidRPr="00834C30" w:rsidRDefault="003E2CA0" w:rsidP="003E2CA0">
      <w:pPr>
        <w:spacing w:line="280" w:lineRule="exact"/>
        <w:ind w:firstLine="284"/>
        <w:jc w:val="both"/>
      </w:pPr>
    </w:p>
    <w:p w:rsidR="003E2CA0" w:rsidRPr="00F32BCE" w:rsidRDefault="003E2CA0" w:rsidP="003E2CA0">
      <w:pPr>
        <w:spacing w:line="280" w:lineRule="exact"/>
        <w:ind w:firstLine="284"/>
        <w:jc w:val="both"/>
        <w:rPr>
          <w:sz w:val="22"/>
          <w:szCs w:val="22"/>
        </w:rPr>
      </w:pPr>
      <w:r w:rsidRPr="00F32BCE">
        <w:rPr>
          <w:sz w:val="22"/>
          <w:szCs w:val="22"/>
        </w:rPr>
        <w:t xml:space="preserve">Le innovazioni che la nuova Programmazione prevede sono </w:t>
      </w:r>
      <w:proofErr w:type="gramStart"/>
      <w:r w:rsidRPr="00F32BCE">
        <w:rPr>
          <w:sz w:val="22"/>
          <w:szCs w:val="22"/>
        </w:rPr>
        <w:t>state punto</w:t>
      </w:r>
      <w:proofErr w:type="gramEnd"/>
      <w:r w:rsidRPr="00F32BCE">
        <w:rPr>
          <w:sz w:val="22"/>
          <w:szCs w:val="22"/>
        </w:rPr>
        <w:t xml:space="preserve"> di partenza per la stesura della Strategia Europa 2020. Di seguito riportiamo in modo schematico le </w:t>
      </w:r>
      <w:proofErr w:type="gramStart"/>
      <w:r w:rsidRPr="00F32BCE">
        <w:rPr>
          <w:sz w:val="22"/>
          <w:szCs w:val="22"/>
        </w:rPr>
        <w:t>11</w:t>
      </w:r>
      <w:proofErr w:type="gramEnd"/>
      <w:r w:rsidRPr="00F32BCE">
        <w:rPr>
          <w:sz w:val="22"/>
          <w:szCs w:val="22"/>
        </w:rPr>
        <w:t xml:space="preserve"> aree tematiche:</w:t>
      </w:r>
    </w:p>
    <w:p w:rsidR="003E2CA0" w:rsidRPr="00F32BCE" w:rsidRDefault="003E2CA0" w:rsidP="003E2CA0">
      <w:pPr>
        <w:spacing w:line="280" w:lineRule="exact"/>
        <w:ind w:firstLine="284"/>
        <w:jc w:val="both"/>
        <w:rPr>
          <w:sz w:val="22"/>
          <w:szCs w:val="22"/>
        </w:rPr>
      </w:pPr>
    </w:p>
    <w:p w:rsidR="003E2CA0" w:rsidRPr="00F32BCE" w:rsidRDefault="003E2CA0" w:rsidP="003E2CA0">
      <w:pPr>
        <w:pStyle w:val="Paragrafoelenco"/>
        <w:numPr>
          <w:ilvl w:val="0"/>
          <w:numId w:val="15"/>
        </w:numPr>
        <w:spacing w:line="280" w:lineRule="exact"/>
        <w:jc w:val="both"/>
        <w:rPr>
          <w:sz w:val="22"/>
          <w:szCs w:val="22"/>
        </w:rPr>
      </w:pPr>
      <w:r>
        <w:rPr>
          <w:sz w:val="22"/>
          <w:szCs w:val="22"/>
        </w:rPr>
        <w:t>R</w:t>
      </w:r>
      <w:r w:rsidRPr="00F32BCE">
        <w:rPr>
          <w:sz w:val="22"/>
          <w:szCs w:val="22"/>
        </w:rPr>
        <w:t>afforzare la ricerca, lo sviluppo tecnologico e l’innovazione;</w:t>
      </w:r>
    </w:p>
    <w:p w:rsidR="003E2CA0" w:rsidRPr="00F32BCE" w:rsidRDefault="003E2CA0" w:rsidP="003E2CA0">
      <w:pPr>
        <w:pStyle w:val="Paragrafoelenco"/>
        <w:numPr>
          <w:ilvl w:val="0"/>
          <w:numId w:val="15"/>
        </w:numPr>
        <w:spacing w:line="280" w:lineRule="exact"/>
        <w:jc w:val="both"/>
        <w:rPr>
          <w:sz w:val="22"/>
          <w:szCs w:val="22"/>
        </w:rPr>
      </w:pPr>
      <w:r>
        <w:rPr>
          <w:sz w:val="22"/>
          <w:szCs w:val="22"/>
        </w:rPr>
        <w:t>M</w:t>
      </w:r>
      <w:r w:rsidRPr="00F32BCE">
        <w:rPr>
          <w:sz w:val="22"/>
          <w:szCs w:val="22"/>
        </w:rPr>
        <w:t>igliorare l’accesso alle tecnologie dell’informazione;</w:t>
      </w:r>
    </w:p>
    <w:p w:rsidR="003E2CA0" w:rsidRPr="00F32BCE" w:rsidRDefault="003E2CA0" w:rsidP="003E2CA0">
      <w:pPr>
        <w:pStyle w:val="Paragrafoelenco"/>
        <w:numPr>
          <w:ilvl w:val="0"/>
          <w:numId w:val="15"/>
        </w:numPr>
        <w:spacing w:line="280" w:lineRule="exact"/>
        <w:jc w:val="both"/>
        <w:rPr>
          <w:sz w:val="22"/>
          <w:szCs w:val="22"/>
        </w:rPr>
      </w:pPr>
      <w:r>
        <w:rPr>
          <w:sz w:val="22"/>
          <w:szCs w:val="22"/>
        </w:rPr>
        <w:t>P</w:t>
      </w:r>
      <w:r w:rsidRPr="00F32BCE">
        <w:rPr>
          <w:sz w:val="22"/>
          <w:szCs w:val="22"/>
        </w:rPr>
        <w:t xml:space="preserve">romuovere la competitività delle piccole e medie imprese, il settore agricolo e il </w:t>
      </w:r>
      <w:proofErr w:type="gramStart"/>
      <w:r w:rsidRPr="00F32BCE">
        <w:rPr>
          <w:sz w:val="22"/>
          <w:szCs w:val="22"/>
        </w:rPr>
        <w:t>settore</w:t>
      </w:r>
      <w:proofErr w:type="gramEnd"/>
      <w:r w:rsidRPr="00F32BCE">
        <w:rPr>
          <w:sz w:val="22"/>
          <w:szCs w:val="22"/>
        </w:rPr>
        <w:t xml:space="preserve"> della pesca e dell’acquacoltura;</w:t>
      </w:r>
    </w:p>
    <w:p w:rsidR="003E2CA0" w:rsidRPr="00F32BCE" w:rsidRDefault="003E2CA0" w:rsidP="003E2CA0">
      <w:pPr>
        <w:pStyle w:val="Paragrafoelenco"/>
        <w:numPr>
          <w:ilvl w:val="0"/>
          <w:numId w:val="15"/>
        </w:numPr>
        <w:spacing w:line="280" w:lineRule="exact"/>
        <w:jc w:val="both"/>
        <w:rPr>
          <w:sz w:val="22"/>
          <w:szCs w:val="22"/>
        </w:rPr>
      </w:pPr>
      <w:r>
        <w:rPr>
          <w:sz w:val="22"/>
          <w:szCs w:val="22"/>
        </w:rPr>
        <w:t>S</w:t>
      </w:r>
      <w:r w:rsidRPr="00F32BCE">
        <w:rPr>
          <w:sz w:val="22"/>
          <w:szCs w:val="22"/>
        </w:rPr>
        <w:t>ostenere la transizione verso un’economia a basse emissioni di carbonio;</w:t>
      </w:r>
    </w:p>
    <w:p w:rsidR="003E2CA0" w:rsidRPr="00F32BCE" w:rsidRDefault="003E2CA0" w:rsidP="003E2CA0">
      <w:pPr>
        <w:pStyle w:val="Paragrafoelenco"/>
        <w:numPr>
          <w:ilvl w:val="0"/>
          <w:numId w:val="15"/>
        </w:numPr>
        <w:spacing w:line="280" w:lineRule="exact"/>
        <w:jc w:val="both"/>
        <w:rPr>
          <w:sz w:val="22"/>
          <w:szCs w:val="22"/>
        </w:rPr>
      </w:pPr>
      <w:proofErr w:type="gramStart"/>
      <w:r>
        <w:rPr>
          <w:sz w:val="22"/>
          <w:szCs w:val="22"/>
        </w:rPr>
        <w:t>P</w:t>
      </w:r>
      <w:r w:rsidRPr="00F32BCE">
        <w:rPr>
          <w:sz w:val="22"/>
          <w:szCs w:val="22"/>
        </w:rPr>
        <w:t>romuovere l’adattamento al cambiamento climatico, prevenzione e la gestione dei rischi;</w:t>
      </w:r>
      <w:proofErr w:type="gramEnd"/>
    </w:p>
    <w:p w:rsidR="003E2CA0" w:rsidRPr="00F32BCE" w:rsidRDefault="003E2CA0" w:rsidP="003E2CA0">
      <w:pPr>
        <w:pStyle w:val="Paragrafoelenco"/>
        <w:numPr>
          <w:ilvl w:val="0"/>
          <w:numId w:val="15"/>
        </w:numPr>
        <w:spacing w:line="280" w:lineRule="exact"/>
        <w:jc w:val="both"/>
        <w:rPr>
          <w:sz w:val="22"/>
          <w:szCs w:val="22"/>
        </w:rPr>
      </w:pPr>
      <w:r>
        <w:rPr>
          <w:sz w:val="22"/>
          <w:szCs w:val="22"/>
        </w:rPr>
        <w:t>T</w:t>
      </w:r>
      <w:r w:rsidRPr="00F32BCE">
        <w:rPr>
          <w:sz w:val="22"/>
          <w:szCs w:val="22"/>
        </w:rPr>
        <w:t>utelare l’ambiente e l’uso efficiente delle risorse;</w:t>
      </w:r>
    </w:p>
    <w:p w:rsidR="003E2CA0" w:rsidRPr="00F32BCE" w:rsidRDefault="003E2CA0" w:rsidP="003E2CA0">
      <w:pPr>
        <w:pStyle w:val="Paragrafoelenco"/>
        <w:numPr>
          <w:ilvl w:val="0"/>
          <w:numId w:val="15"/>
        </w:numPr>
        <w:spacing w:line="280" w:lineRule="exact"/>
        <w:jc w:val="both"/>
        <w:rPr>
          <w:sz w:val="22"/>
          <w:szCs w:val="22"/>
        </w:rPr>
      </w:pPr>
      <w:r>
        <w:rPr>
          <w:sz w:val="22"/>
          <w:szCs w:val="22"/>
        </w:rPr>
        <w:t>P</w:t>
      </w:r>
      <w:r w:rsidRPr="00F32BCE">
        <w:rPr>
          <w:sz w:val="22"/>
          <w:szCs w:val="22"/>
        </w:rPr>
        <w:t xml:space="preserve">romuovere sistemi di trasporto sostenibili </w:t>
      </w:r>
      <w:proofErr w:type="gramStart"/>
      <w:r w:rsidRPr="00F32BCE">
        <w:rPr>
          <w:sz w:val="22"/>
          <w:szCs w:val="22"/>
        </w:rPr>
        <w:t>e</w:t>
      </w:r>
      <w:proofErr w:type="gramEnd"/>
      <w:r w:rsidRPr="00F32BCE">
        <w:rPr>
          <w:sz w:val="22"/>
          <w:szCs w:val="22"/>
        </w:rPr>
        <w:t xml:space="preserve"> eliminare le strozzature delle principali infrastrutture di rete;</w:t>
      </w:r>
    </w:p>
    <w:p w:rsidR="003E2CA0" w:rsidRPr="00F32BCE" w:rsidRDefault="003E2CA0" w:rsidP="003E2CA0">
      <w:pPr>
        <w:pStyle w:val="Paragrafoelenco"/>
        <w:numPr>
          <w:ilvl w:val="0"/>
          <w:numId w:val="15"/>
        </w:numPr>
        <w:spacing w:line="280" w:lineRule="exact"/>
        <w:jc w:val="both"/>
        <w:rPr>
          <w:sz w:val="22"/>
          <w:szCs w:val="22"/>
        </w:rPr>
      </w:pPr>
      <w:r>
        <w:rPr>
          <w:sz w:val="22"/>
          <w:szCs w:val="22"/>
        </w:rPr>
        <w:t>P</w:t>
      </w:r>
      <w:r w:rsidRPr="00F32BCE">
        <w:rPr>
          <w:sz w:val="22"/>
          <w:szCs w:val="22"/>
        </w:rPr>
        <w:t>romuovere l’occupazione e sostenere la mobilità dei lavoratori;</w:t>
      </w:r>
    </w:p>
    <w:p w:rsidR="003E2CA0" w:rsidRPr="00F32BCE" w:rsidRDefault="003E2CA0" w:rsidP="003E2CA0">
      <w:pPr>
        <w:pStyle w:val="Paragrafoelenco"/>
        <w:numPr>
          <w:ilvl w:val="0"/>
          <w:numId w:val="15"/>
        </w:numPr>
        <w:spacing w:line="280" w:lineRule="exact"/>
        <w:jc w:val="both"/>
        <w:rPr>
          <w:sz w:val="22"/>
          <w:szCs w:val="22"/>
        </w:rPr>
      </w:pPr>
      <w:r>
        <w:rPr>
          <w:sz w:val="22"/>
          <w:szCs w:val="22"/>
        </w:rPr>
        <w:t>P</w:t>
      </w:r>
      <w:r w:rsidRPr="00F32BCE">
        <w:rPr>
          <w:sz w:val="22"/>
          <w:szCs w:val="22"/>
        </w:rPr>
        <w:t>romuovere l’inclusione sociale e combattere la povertà;</w:t>
      </w:r>
    </w:p>
    <w:p w:rsidR="003E2CA0" w:rsidRPr="00F32BCE" w:rsidRDefault="003E2CA0" w:rsidP="003E2CA0">
      <w:pPr>
        <w:pStyle w:val="Paragrafoelenco"/>
        <w:numPr>
          <w:ilvl w:val="0"/>
          <w:numId w:val="15"/>
        </w:numPr>
        <w:spacing w:line="280" w:lineRule="exact"/>
        <w:jc w:val="both"/>
        <w:rPr>
          <w:sz w:val="22"/>
          <w:szCs w:val="22"/>
        </w:rPr>
      </w:pPr>
      <w:r>
        <w:rPr>
          <w:sz w:val="22"/>
          <w:szCs w:val="22"/>
        </w:rPr>
        <w:t>I</w:t>
      </w:r>
      <w:r w:rsidRPr="00F32BCE">
        <w:rPr>
          <w:sz w:val="22"/>
          <w:szCs w:val="22"/>
        </w:rPr>
        <w:t>nvestire nelle competenze, nell’istruzione e nell’apprendimento permanente;</w:t>
      </w:r>
    </w:p>
    <w:p w:rsidR="003E2CA0" w:rsidRPr="00F32BCE" w:rsidRDefault="003E2CA0" w:rsidP="003E2CA0">
      <w:pPr>
        <w:pStyle w:val="Paragrafoelenco"/>
        <w:numPr>
          <w:ilvl w:val="0"/>
          <w:numId w:val="15"/>
        </w:numPr>
        <w:spacing w:line="280" w:lineRule="exact"/>
        <w:jc w:val="both"/>
        <w:rPr>
          <w:sz w:val="22"/>
          <w:szCs w:val="22"/>
        </w:rPr>
      </w:pPr>
      <w:r>
        <w:rPr>
          <w:sz w:val="22"/>
          <w:szCs w:val="22"/>
        </w:rPr>
        <w:t>P</w:t>
      </w:r>
      <w:r w:rsidRPr="00F32BCE">
        <w:rPr>
          <w:sz w:val="22"/>
          <w:szCs w:val="22"/>
        </w:rPr>
        <w:t xml:space="preserve">romuovere il potenziamento della capacità istituzionale e delle amministrazioni pubbliche efficienti. </w:t>
      </w:r>
    </w:p>
    <w:p w:rsidR="003E2CA0" w:rsidRPr="00F32BCE" w:rsidRDefault="003E2CA0" w:rsidP="003E2CA0">
      <w:pPr>
        <w:pStyle w:val="Paragrafoelenco"/>
        <w:spacing w:line="280" w:lineRule="exact"/>
        <w:ind w:left="1004"/>
        <w:jc w:val="both"/>
        <w:rPr>
          <w:sz w:val="22"/>
          <w:szCs w:val="22"/>
        </w:rPr>
      </w:pPr>
    </w:p>
    <w:p w:rsidR="003E2CA0" w:rsidRPr="00F32BCE" w:rsidRDefault="003E2CA0" w:rsidP="003E2CA0">
      <w:pPr>
        <w:spacing w:line="280" w:lineRule="exact"/>
        <w:ind w:firstLine="284"/>
        <w:jc w:val="both"/>
        <w:rPr>
          <w:sz w:val="22"/>
          <w:szCs w:val="22"/>
        </w:rPr>
      </w:pPr>
      <w:r w:rsidRPr="00F32BCE">
        <w:rPr>
          <w:sz w:val="22"/>
          <w:szCs w:val="22"/>
        </w:rPr>
        <w:t xml:space="preserve">Dalle undici aree </w:t>
      </w:r>
      <w:proofErr w:type="gramStart"/>
      <w:r w:rsidRPr="00F32BCE">
        <w:rPr>
          <w:sz w:val="22"/>
          <w:szCs w:val="22"/>
        </w:rPr>
        <w:t>tematiche</w:t>
      </w:r>
      <w:proofErr w:type="gramEnd"/>
      <w:r w:rsidRPr="00F32BCE">
        <w:rPr>
          <w:sz w:val="22"/>
          <w:szCs w:val="22"/>
        </w:rPr>
        <w:t xml:space="preserve"> emergono quattro missioni su cui focalizzare l'attenzione:</w:t>
      </w:r>
    </w:p>
    <w:p w:rsidR="003E2CA0" w:rsidRPr="00F32BCE" w:rsidRDefault="003E2CA0" w:rsidP="003E2CA0">
      <w:pPr>
        <w:spacing w:line="280" w:lineRule="exact"/>
        <w:ind w:firstLine="284"/>
        <w:jc w:val="both"/>
        <w:rPr>
          <w:sz w:val="22"/>
          <w:szCs w:val="22"/>
        </w:rPr>
      </w:pPr>
    </w:p>
    <w:p w:rsidR="003E2CA0" w:rsidRPr="00F32BCE" w:rsidRDefault="003E2CA0" w:rsidP="003E2CA0">
      <w:pPr>
        <w:pStyle w:val="Paragrafoelenco"/>
        <w:numPr>
          <w:ilvl w:val="0"/>
          <w:numId w:val="11"/>
        </w:numPr>
        <w:spacing w:line="280" w:lineRule="exact"/>
        <w:jc w:val="both"/>
        <w:rPr>
          <w:sz w:val="22"/>
          <w:szCs w:val="22"/>
        </w:rPr>
      </w:pPr>
      <w:r>
        <w:rPr>
          <w:sz w:val="22"/>
          <w:szCs w:val="22"/>
        </w:rPr>
        <w:t>L</w:t>
      </w:r>
      <w:r w:rsidRPr="00F32BCE">
        <w:rPr>
          <w:sz w:val="22"/>
          <w:szCs w:val="22"/>
        </w:rPr>
        <w:t>avoro, competitività dei sistemi produttivi e innovazione;</w:t>
      </w:r>
    </w:p>
    <w:p w:rsidR="003E2CA0" w:rsidRPr="00F32BCE" w:rsidRDefault="003E2CA0" w:rsidP="003E2CA0">
      <w:pPr>
        <w:pStyle w:val="Paragrafoelenco"/>
        <w:numPr>
          <w:ilvl w:val="0"/>
          <w:numId w:val="11"/>
        </w:numPr>
        <w:spacing w:line="280" w:lineRule="exact"/>
        <w:jc w:val="both"/>
        <w:rPr>
          <w:sz w:val="22"/>
          <w:szCs w:val="22"/>
        </w:rPr>
      </w:pPr>
      <w:r>
        <w:rPr>
          <w:sz w:val="22"/>
          <w:szCs w:val="22"/>
        </w:rPr>
        <w:t>V</w:t>
      </w:r>
      <w:r w:rsidRPr="00F32BCE">
        <w:rPr>
          <w:sz w:val="22"/>
          <w:szCs w:val="22"/>
        </w:rPr>
        <w:t>alorizzazione, gestione e tutela dell’ambiente;</w:t>
      </w:r>
    </w:p>
    <w:p w:rsidR="003E2CA0" w:rsidRPr="00F32BCE" w:rsidRDefault="003E2CA0" w:rsidP="003E2CA0">
      <w:pPr>
        <w:pStyle w:val="Paragrafoelenco"/>
        <w:numPr>
          <w:ilvl w:val="0"/>
          <w:numId w:val="11"/>
        </w:numPr>
        <w:spacing w:line="280" w:lineRule="exact"/>
        <w:jc w:val="both"/>
        <w:rPr>
          <w:sz w:val="22"/>
          <w:szCs w:val="22"/>
        </w:rPr>
      </w:pPr>
      <w:r>
        <w:rPr>
          <w:sz w:val="22"/>
          <w:szCs w:val="22"/>
        </w:rPr>
        <w:t>Q</w:t>
      </w:r>
      <w:r w:rsidRPr="00F32BCE">
        <w:rPr>
          <w:sz w:val="22"/>
          <w:szCs w:val="22"/>
        </w:rPr>
        <w:t>ualità della vita e inclusione sociale;</w:t>
      </w:r>
    </w:p>
    <w:p w:rsidR="003E2CA0" w:rsidRPr="00F32BCE" w:rsidRDefault="003E2CA0" w:rsidP="003E2CA0">
      <w:pPr>
        <w:pStyle w:val="Paragrafoelenco"/>
        <w:numPr>
          <w:ilvl w:val="0"/>
          <w:numId w:val="11"/>
        </w:numPr>
        <w:spacing w:line="280" w:lineRule="exact"/>
        <w:jc w:val="both"/>
        <w:rPr>
          <w:sz w:val="22"/>
          <w:szCs w:val="22"/>
        </w:rPr>
      </w:pPr>
      <w:r>
        <w:rPr>
          <w:sz w:val="22"/>
          <w:szCs w:val="22"/>
        </w:rPr>
        <w:t>I</w:t>
      </w:r>
      <w:r w:rsidRPr="00F32BCE">
        <w:rPr>
          <w:sz w:val="22"/>
          <w:szCs w:val="22"/>
        </w:rPr>
        <w:t>struzione, formazione e competenze.</w:t>
      </w:r>
    </w:p>
    <w:p w:rsidR="003E2CA0" w:rsidRPr="00F32BCE" w:rsidRDefault="003E2CA0" w:rsidP="003E2CA0">
      <w:pPr>
        <w:pStyle w:val="Paragrafoelenco"/>
        <w:spacing w:line="280" w:lineRule="exact"/>
        <w:ind w:left="1004"/>
        <w:jc w:val="both"/>
        <w:rPr>
          <w:sz w:val="22"/>
          <w:szCs w:val="22"/>
        </w:rPr>
      </w:pPr>
    </w:p>
    <w:p w:rsidR="003E2CA0" w:rsidRPr="00834C30" w:rsidRDefault="003E2CA0" w:rsidP="003E2CA0">
      <w:pPr>
        <w:spacing w:line="280" w:lineRule="exact"/>
        <w:ind w:firstLine="284"/>
        <w:jc w:val="both"/>
      </w:pPr>
    </w:p>
    <w:p w:rsidR="003E2CA0" w:rsidRPr="00834C30" w:rsidRDefault="003E2CA0" w:rsidP="003E2CA0">
      <w:pPr>
        <w:spacing w:line="280" w:lineRule="exact"/>
        <w:ind w:firstLine="284"/>
        <w:jc w:val="both"/>
        <w:rPr>
          <w:b/>
          <w:i/>
        </w:rPr>
      </w:pPr>
      <w:r>
        <w:rPr>
          <w:b/>
          <w:i/>
        </w:rPr>
        <w:t>Opzioni strategiche: Mezzogiorno, città e aree urbane</w:t>
      </w:r>
      <w:r>
        <w:rPr>
          <w:b/>
          <w:i/>
        </w:rPr>
        <w:fldChar w:fldCharType="begin"/>
      </w:r>
      <w:r>
        <w:instrText xml:space="preserve"> XE "</w:instrText>
      </w:r>
      <w:r>
        <w:rPr>
          <w:b/>
          <w:i/>
        </w:rPr>
        <w:instrText>4.3 Opzioni strategiche</w:instrText>
      </w:r>
      <w:r>
        <w:instrText>\</w:instrText>
      </w:r>
      <w:r>
        <w:rPr>
          <w:b/>
          <w:i/>
        </w:rPr>
        <w:instrText>: Mezzogiorno, città e aree urbane</w:instrText>
      </w:r>
      <w:r>
        <w:instrText xml:space="preserve">" </w:instrText>
      </w:r>
      <w:r>
        <w:rPr>
          <w:b/>
          <w:i/>
        </w:rPr>
        <w:fldChar w:fldCharType="end"/>
      </w:r>
    </w:p>
    <w:p w:rsidR="003E2CA0" w:rsidRPr="00834C30" w:rsidRDefault="003E2CA0" w:rsidP="003E2CA0">
      <w:pPr>
        <w:spacing w:line="280" w:lineRule="exact"/>
        <w:ind w:firstLine="284"/>
        <w:jc w:val="both"/>
      </w:pPr>
    </w:p>
    <w:p w:rsidR="003E2CA0" w:rsidRDefault="003E2CA0" w:rsidP="003E2CA0">
      <w:pPr>
        <w:jc w:val="both"/>
      </w:pPr>
    </w:p>
    <w:p w:rsidR="003E2CA0" w:rsidRPr="00F32BCE" w:rsidRDefault="003E2CA0" w:rsidP="003E2CA0">
      <w:pPr>
        <w:spacing w:line="280" w:lineRule="exact"/>
        <w:ind w:firstLine="284"/>
        <w:jc w:val="both"/>
        <w:rPr>
          <w:sz w:val="22"/>
          <w:szCs w:val="22"/>
        </w:rPr>
      </w:pPr>
      <w:r w:rsidRPr="00F32BCE">
        <w:rPr>
          <w:sz w:val="22"/>
          <w:szCs w:val="22"/>
        </w:rPr>
        <w:t xml:space="preserve">Il documento propone tre </w:t>
      </w:r>
      <w:proofErr w:type="gramStart"/>
      <w:r w:rsidRPr="00F32BCE">
        <w:rPr>
          <w:sz w:val="22"/>
          <w:szCs w:val="22"/>
        </w:rPr>
        <w:t>opzioni</w:t>
      </w:r>
      <w:proofErr w:type="gramEnd"/>
      <w:r w:rsidRPr="00F32BCE">
        <w:rPr>
          <w:sz w:val="22"/>
          <w:szCs w:val="22"/>
        </w:rPr>
        <w:t xml:space="preserve"> strategiche per l'impiego dei fondi:</w:t>
      </w:r>
    </w:p>
    <w:p w:rsidR="003E2CA0" w:rsidRPr="00F32BCE" w:rsidRDefault="003E2CA0" w:rsidP="003E2CA0">
      <w:pPr>
        <w:spacing w:line="280" w:lineRule="exact"/>
        <w:ind w:firstLine="284"/>
        <w:jc w:val="both"/>
        <w:rPr>
          <w:sz w:val="22"/>
          <w:szCs w:val="22"/>
        </w:rPr>
      </w:pPr>
    </w:p>
    <w:p w:rsidR="003E2CA0" w:rsidRPr="00241AFC" w:rsidRDefault="003E2CA0" w:rsidP="003E2CA0">
      <w:pPr>
        <w:pStyle w:val="Paragrafoelenco"/>
        <w:numPr>
          <w:ilvl w:val="0"/>
          <w:numId w:val="18"/>
        </w:numPr>
        <w:spacing w:line="280" w:lineRule="exact"/>
        <w:jc w:val="both"/>
        <w:rPr>
          <w:sz w:val="22"/>
          <w:szCs w:val="22"/>
        </w:rPr>
      </w:pPr>
      <w:r>
        <w:rPr>
          <w:sz w:val="22"/>
          <w:szCs w:val="22"/>
        </w:rPr>
        <w:t>N</w:t>
      </w:r>
      <w:r w:rsidRPr="00241AFC">
        <w:rPr>
          <w:sz w:val="22"/>
          <w:szCs w:val="22"/>
        </w:rPr>
        <w:t xml:space="preserve">el Mezzogiorno: si devono superare due deficit essenziali, quello di cittadinanza (inteso come legalità, giustizia, istruzione, </w:t>
      </w:r>
      <w:proofErr w:type="spellStart"/>
      <w:r w:rsidRPr="00241AFC">
        <w:rPr>
          <w:sz w:val="22"/>
          <w:szCs w:val="22"/>
        </w:rPr>
        <w:t>etc</w:t>
      </w:r>
      <w:proofErr w:type="spellEnd"/>
      <w:r w:rsidRPr="00241AFC">
        <w:rPr>
          <w:sz w:val="22"/>
          <w:szCs w:val="22"/>
        </w:rPr>
        <w:t>) e di attività produttiva privata e di servizi del welfare;</w:t>
      </w:r>
    </w:p>
    <w:p w:rsidR="003E2CA0" w:rsidRPr="00241AFC" w:rsidRDefault="003E2CA0" w:rsidP="003E2CA0">
      <w:pPr>
        <w:pStyle w:val="Paragrafoelenco"/>
        <w:numPr>
          <w:ilvl w:val="0"/>
          <w:numId w:val="18"/>
        </w:numPr>
        <w:spacing w:line="280" w:lineRule="exact"/>
        <w:jc w:val="both"/>
        <w:rPr>
          <w:sz w:val="22"/>
          <w:szCs w:val="22"/>
        </w:rPr>
      </w:pPr>
      <w:r>
        <w:rPr>
          <w:sz w:val="22"/>
          <w:szCs w:val="22"/>
        </w:rPr>
        <w:t>L</w:t>
      </w:r>
      <w:r w:rsidRPr="00241AFC">
        <w:rPr>
          <w:sz w:val="22"/>
          <w:szCs w:val="22"/>
        </w:rPr>
        <w:t xml:space="preserve">e aree urbane: i fondi dovranno essere utilizzati per la sanità, scuola, mobilità, comunicazione, </w:t>
      </w:r>
      <w:proofErr w:type="gramStart"/>
      <w:r w:rsidRPr="00241AFC">
        <w:rPr>
          <w:sz w:val="22"/>
          <w:szCs w:val="22"/>
        </w:rPr>
        <w:t>azioni</w:t>
      </w:r>
      <w:proofErr w:type="gramEnd"/>
      <w:r w:rsidRPr="00241AFC">
        <w:rPr>
          <w:sz w:val="22"/>
          <w:szCs w:val="22"/>
        </w:rPr>
        <w:t xml:space="preserve"> di manutenzione del territorio e degli edifici pubblici e promozione delle attività produttive come il turismo nell'ottica di creare le cosiddette "città funzionali";</w:t>
      </w:r>
    </w:p>
    <w:p w:rsidR="003E2CA0" w:rsidRPr="00241AFC" w:rsidRDefault="003E2CA0" w:rsidP="003E2CA0">
      <w:pPr>
        <w:pStyle w:val="Paragrafoelenco"/>
        <w:numPr>
          <w:ilvl w:val="0"/>
          <w:numId w:val="18"/>
        </w:numPr>
        <w:spacing w:line="280" w:lineRule="exact"/>
        <w:jc w:val="both"/>
        <w:rPr>
          <w:sz w:val="22"/>
          <w:szCs w:val="22"/>
        </w:rPr>
      </w:pPr>
      <w:r>
        <w:rPr>
          <w:sz w:val="22"/>
          <w:szCs w:val="22"/>
        </w:rPr>
        <w:t>L</w:t>
      </w:r>
      <w:r w:rsidRPr="00241AFC">
        <w:rPr>
          <w:sz w:val="22"/>
          <w:szCs w:val="22"/>
        </w:rPr>
        <w:t>e città: si dovrà mettere in sicurezza il territorio, promuovere la diversità naturale, culturale e il policentrismo, rilanciare lo sviluppo e il lavoro attraverso l'utilizzo di risorse poco impiegate e puntare sul turismo.</w:t>
      </w:r>
    </w:p>
    <w:p w:rsidR="003E2CA0" w:rsidRDefault="003E2CA0" w:rsidP="003E2CA0">
      <w:r>
        <w:br w:type="page"/>
      </w:r>
    </w:p>
    <w:p w:rsidR="003E2CA0" w:rsidRDefault="003E2CA0" w:rsidP="003E2CA0">
      <w:pPr>
        <w:jc w:val="both"/>
        <w:rPr>
          <w:rFonts w:ascii="Arial" w:hAnsi="Arial" w:cs="Arial"/>
          <w:b/>
          <w:sz w:val="20"/>
          <w:szCs w:val="20"/>
        </w:rPr>
      </w:pPr>
      <w:proofErr w:type="spellStart"/>
      <w:proofErr w:type="gramStart"/>
      <w:r>
        <w:rPr>
          <w:rFonts w:ascii="Arial" w:hAnsi="Arial" w:cs="Arial"/>
          <w:b/>
          <w:sz w:val="20"/>
          <w:szCs w:val="20"/>
        </w:rPr>
        <w:t>Tab</w:t>
      </w:r>
      <w:proofErr w:type="spellEnd"/>
      <w:r>
        <w:rPr>
          <w:rFonts w:ascii="Arial" w:hAnsi="Arial" w:cs="Arial"/>
          <w:b/>
          <w:sz w:val="20"/>
          <w:szCs w:val="20"/>
        </w:rPr>
        <w:t>. n. 1</w:t>
      </w:r>
      <w:r w:rsidRPr="00F34DBC">
        <w:rPr>
          <w:rFonts w:ascii="Arial" w:hAnsi="Arial" w:cs="Arial"/>
          <w:b/>
          <w:sz w:val="20"/>
          <w:szCs w:val="20"/>
        </w:rPr>
        <w:t xml:space="preserve"> – Schema riassuntivo Strategia Europa 202</w:t>
      </w:r>
      <w:r>
        <w:rPr>
          <w:rFonts w:ascii="Arial" w:hAnsi="Arial" w:cs="Arial"/>
          <w:b/>
          <w:sz w:val="20"/>
          <w:szCs w:val="20"/>
        </w:rPr>
        <w:t>0</w:t>
      </w:r>
      <w:r w:rsidRPr="00F34DBC">
        <w:rPr>
          <w:rFonts w:ascii="Arial" w:hAnsi="Arial" w:cs="Arial"/>
          <w:b/>
          <w:sz w:val="20"/>
          <w:szCs w:val="20"/>
        </w:rPr>
        <w:t>, fondi, politiche e programmi per la formazione professionale</w:t>
      </w:r>
      <w:proofErr w:type="gramEnd"/>
    </w:p>
    <w:p w:rsidR="003E2CA0" w:rsidRPr="00F34DBC" w:rsidRDefault="003E2CA0" w:rsidP="003E2CA0">
      <w:pPr>
        <w:jc w:val="both"/>
        <w:rPr>
          <w:rFonts w:ascii="Arial" w:hAnsi="Arial" w:cs="Arial"/>
          <w:b/>
          <w:sz w:val="20"/>
          <w:szCs w:val="20"/>
        </w:rPr>
      </w:pPr>
    </w:p>
    <w:tbl>
      <w:tblPr>
        <w:tblStyle w:val="Grigliachiara-Colore1"/>
        <w:tblW w:w="0" w:type="auto"/>
        <w:tblLook w:val="04A0" w:firstRow="1" w:lastRow="0" w:firstColumn="1" w:lastColumn="0" w:noHBand="0" w:noVBand="1"/>
      </w:tblPr>
      <w:tblGrid>
        <w:gridCol w:w="2055"/>
        <w:gridCol w:w="2055"/>
        <w:gridCol w:w="2055"/>
        <w:gridCol w:w="2055"/>
      </w:tblGrid>
      <w:tr w:rsidR="003E2CA0" w:rsidRPr="00F32BCE" w:rsidTr="00AB64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55" w:type="dxa"/>
          </w:tcPr>
          <w:p w:rsidR="003E2CA0" w:rsidRPr="00F32BCE" w:rsidRDefault="003E2CA0" w:rsidP="00AB64F0">
            <w:pPr>
              <w:jc w:val="both"/>
            </w:pPr>
            <w:r w:rsidRPr="00F32BCE">
              <w:t>Europa 2020</w:t>
            </w:r>
          </w:p>
        </w:tc>
        <w:tc>
          <w:tcPr>
            <w:tcW w:w="2055" w:type="dxa"/>
          </w:tcPr>
          <w:p w:rsidR="003E2CA0" w:rsidRPr="00F32BCE" w:rsidRDefault="003E2CA0" w:rsidP="00AB64F0">
            <w:pPr>
              <w:jc w:val="both"/>
              <w:cnfStyle w:val="100000000000" w:firstRow="1" w:lastRow="0" w:firstColumn="0" w:lastColumn="0" w:oddVBand="0" w:evenVBand="0" w:oddHBand="0" w:evenHBand="0" w:firstRowFirstColumn="0" w:firstRowLastColumn="0" w:lastRowFirstColumn="0" w:lastRowLastColumn="0"/>
            </w:pPr>
            <w:r w:rsidRPr="00F32BCE">
              <w:t>Obiettivi specifici</w:t>
            </w:r>
          </w:p>
        </w:tc>
        <w:tc>
          <w:tcPr>
            <w:tcW w:w="2055" w:type="dxa"/>
          </w:tcPr>
          <w:p w:rsidR="003E2CA0" w:rsidRPr="00F32BCE" w:rsidRDefault="003E2CA0" w:rsidP="00AB64F0">
            <w:pPr>
              <w:jc w:val="both"/>
              <w:cnfStyle w:val="100000000000" w:firstRow="1" w:lastRow="0" w:firstColumn="0" w:lastColumn="0" w:oddVBand="0" w:evenVBand="0" w:oddHBand="0" w:evenHBand="0" w:firstRowFirstColumn="0" w:firstRowLastColumn="0" w:lastRowFirstColumn="0" w:lastRowLastColumn="0"/>
            </w:pPr>
            <w:r w:rsidRPr="00F32BCE">
              <w:t>Fondi</w:t>
            </w:r>
          </w:p>
        </w:tc>
        <w:tc>
          <w:tcPr>
            <w:tcW w:w="2055" w:type="dxa"/>
          </w:tcPr>
          <w:p w:rsidR="003E2CA0" w:rsidRPr="00F32BCE" w:rsidRDefault="003E2CA0" w:rsidP="00AB64F0">
            <w:pPr>
              <w:jc w:val="both"/>
              <w:cnfStyle w:val="100000000000" w:firstRow="1" w:lastRow="0" w:firstColumn="0" w:lastColumn="0" w:oddVBand="0" w:evenVBand="0" w:oddHBand="0" w:evenHBand="0" w:firstRowFirstColumn="0" w:firstRowLastColumn="0" w:lastRowFirstColumn="0" w:lastRowLastColumn="0"/>
            </w:pPr>
            <w:r w:rsidRPr="00F32BCE">
              <w:t>Politiche e programmi</w:t>
            </w:r>
          </w:p>
        </w:tc>
      </w:tr>
      <w:tr w:rsidR="003E2CA0" w:rsidRPr="00F32BCE" w:rsidTr="00AB64F0">
        <w:trPr>
          <w:cnfStyle w:val="000000100000" w:firstRow="0" w:lastRow="0" w:firstColumn="0" w:lastColumn="0" w:oddVBand="0" w:evenVBand="0" w:oddHBand="1" w:evenHBand="0" w:firstRowFirstColumn="0" w:firstRowLastColumn="0" w:lastRowFirstColumn="0" w:lastRowLastColumn="0"/>
          <w:trHeight w:val="2428"/>
        </w:trPr>
        <w:tc>
          <w:tcPr>
            <w:cnfStyle w:val="001000000000" w:firstRow="0" w:lastRow="0" w:firstColumn="1" w:lastColumn="0" w:oddVBand="0" w:evenVBand="0" w:oddHBand="0" w:evenHBand="0" w:firstRowFirstColumn="0" w:firstRowLastColumn="0" w:lastRowFirstColumn="0" w:lastRowLastColumn="0"/>
            <w:tcW w:w="2055" w:type="dxa"/>
          </w:tcPr>
          <w:p w:rsidR="003E2CA0" w:rsidRPr="00F32BCE" w:rsidRDefault="003E2CA0" w:rsidP="00AB64F0">
            <w:pPr>
              <w:jc w:val="both"/>
            </w:pPr>
            <w:r w:rsidRPr="00F32BCE">
              <w:t>Crescita Intelligente</w:t>
            </w:r>
          </w:p>
        </w:tc>
        <w:tc>
          <w:tcPr>
            <w:tcW w:w="2055" w:type="dxa"/>
          </w:tcPr>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r w:rsidRPr="00F32BCE">
              <w:t>1. Potenziare la ricerca, lo sviluppo tecnologico e l’innovazione</w:t>
            </w:r>
          </w:p>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r w:rsidRPr="00F32BCE">
              <w:t>2. Migliorare l’accesso, l’uso e la qualità delle tecnologie dell’informazione e della comunicazione</w:t>
            </w:r>
          </w:p>
        </w:tc>
        <w:tc>
          <w:tcPr>
            <w:tcW w:w="2055" w:type="dxa"/>
          </w:tcPr>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r w:rsidRPr="00F32BCE">
              <w:t>FERS</w:t>
            </w:r>
          </w:p>
        </w:tc>
        <w:tc>
          <w:tcPr>
            <w:tcW w:w="2055" w:type="dxa"/>
          </w:tcPr>
          <w:p w:rsidR="003E2CA0" w:rsidRPr="00F32BCE" w:rsidRDefault="003E2CA0" w:rsidP="003E2CA0">
            <w:pPr>
              <w:pStyle w:val="Paragrafoelenco"/>
              <w:numPr>
                <w:ilvl w:val="0"/>
                <w:numId w:val="12"/>
              </w:numPr>
              <w:ind w:left="356"/>
              <w:jc w:val="both"/>
              <w:cnfStyle w:val="000000100000" w:firstRow="0" w:lastRow="0" w:firstColumn="0" w:lastColumn="0" w:oddVBand="0" w:evenVBand="0" w:oddHBand="1" w:evenHBand="0" w:firstRowFirstColumn="0" w:firstRowLastColumn="0" w:lastRowFirstColumn="0" w:lastRowLastColumn="0"/>
            </w:pPr>
            <w:proofErr w:type="spellStart"/>
            <w:r w:rsidRPr="00F32BCE">
              <w:t>Horizon</w:t>
            </w:r>
            <w:proofErr w:type="spellEnd"/>
            <w:r w:rsidRPr="00F32BCE">
              <w:t xml:space="preserve"> 2020</w:t>
            </w:r>
          </w:p>
          <w:p w:rsidR="003E2CA0" w:rsidRPr="00F32BCE" w:rsidRDefault="003E2CA0" w:rsidP="003E2CA0">
            <w:pPr>
              <w:pStyle w:val="Paragrafoelenco"/>
              <w:numPr>
                <w:ilvl w:val="0"/>
                <w:numId w:val="12"/>
              </w:numPr>
              <w:ind w:left="356"/>
              <w:jc w:val="both"/>
              <w:cnfStyle w:val="000000100000" w:firstRow="0" w:lastRow="0" w:firstColumn="0" w:lastColumn="0" w:oddVBand="0" w:evenVBand="0" w:oddHBand="1" w:evenHBand="0" w:firstRowFirstColumn="0" w:firstRowLastColumn="0" w:lastRowFirstColumn="0" w:lastRowLastColumn="0"/>
            </w:pPr>
            <w:r w:rsidRPr="00F32BCE">
              <w:t>Iniziativa faro: Digital Agenda for Europe</w:t>
            </w:r>
          </w:p>
        </w:tc>
      </w:tr>
      <w:tr w:rsidR="003E2CA0" w:rsidRPr="00F32BCE" w:rsidTr="00AB64F0">
        <w:trPr>
          <w:cnfStyle w:val="000000010000" w:firstRow="0" w:lastRow="0" w:firstColumn="0" w:lastColumn="0" w:oddVBand="0" w:evenVBand="0" w:oddHBand="0" w:evenHBand="1" w:firstRowFirstColumn="0" w:firstRowLastColumn="0" w:lastRowFirstColumn="0" w:lastRowLastColumn="0"/>
          <w:trHeight w:val="1617"/>
        </w:trPr>
        <w:tc>
          <w:tcPr>
            <w:cnfStyle w:val="001000000000" w:firstRow="0" w:lastRow="0" w:firstColumn="1" w:lastColumn="0" w:oddVBand="0" w:evenVBand="0" w:oddHBand="0" w:evenHBand="0" w:firstRowFirstColumn="0" w:firstRowLastColumn="0" w:lastRowFirstColumn="0" w:lastRowLastColumn="0"/>
            <w:tcW w:w="2055" w:type="dxa"/>
          </w:tcPr>
          <w:p w:rsidR="003E2CA0" w:rsidRPr="00F32BCE" w:rsidRDefault="003E2CA0" w:rsidP="00AB64F0">
            <w:pPr>
              <w:jc w:val="both"/>
            </w:pPr>
            <w:r w:rsidRPr="00F32BCE">
              <w:t>Crescita Sostenibile</w:t>
            </w:r>
          </w:p>
        </w:tc>
        <w:tc>
          <w:tcPr>
            <w:tcW w:w="2055" w:type="dxa"/>
          </w:tcPr>
          <w:p w:rsidR="003E2CA0" w:rsidRPr="00F32BCE" w:rsidRDefault="003E2CA0" w:rsidP="00AB64F0">
            <w:pPr>
              <w:jc w:val="both"/>
              <w:cnfStyle w:val="000000010000" w:firstRow="0" w:lastRow="0" w:firstColumn="0" w:lastColumn="0" w:oddVBand="0" w:evenVBand="0" w:oddHBand="0" w:evenHBand="1" w:firstRowFirstColumn="0" w:firstRowLastColumn="0" w:lastRowFirstColumn="0" w:lastRowLastColumn="0"/>
            </w:pPr>
            <w:r w:rsidRPr="00F32BCE">
              <w:t>3. Tutte le azioni legate a promuovere l’ambiente e l’utilizzo efficace delle risorse</w:t>
            </w:r>
          </w:p>
        </w:tc>
        <w:tc>
          <w:tcPr>
            <w:tcW w:w="2055" w:type="dxa"/>
          </w:tcPr>
          <w:p w:rsidR="003E2CA0" w:rsidRPr="00F32BCE" w:rsidRDefault="003E2CA0" w:rsidP="00AB64F0">
            <w:pPr>
              <w:jc w:val="center"/>
              <w:cnfStyle w:val="000000010000" w:firstRow="0" w:lastRow="0" w:firstColumn="0" w:lastColumn="0" w:oddVBand="0" w:evenVBand="0" w:oddHBand="0" w:evenHBand="1" w:firstRowFirstColumn="0" w:firstRowLastColumn="0" w:lastRowFirstColumn="0" w:lastRowLastColumn="0"/>
            </w:pPr>
          </w:p>
          <w:p w:rsidR="003E2CA0" w:rsidRPr="00F32BCE" w:rsidRDefault="003E2CA0" w:rsidP="00AB64F0">
            <w:pPr>
              <w:jc w:val="center"/>
              <w:cnfStyle w:val="000000010000" w:firstRow="0" w:lastRow="0" w:firstColumn="0" w:lastColumn="0" w:oddVBand="0" w:evenVBand="0" w:oddHBand="0" w:evenHBand="1" w:firstRowFirstColumn="0" w:firstRowLastColumn="0" w:lastRowFirstColumn="0" w:lastRowLastColumn="0"/>
            </w:pPr>
          </w:p>
          <w:p w:rsidR="003E2CA0" w:rsidRPr="00F32BCE" w:rsidRDefault="003E2CA0" w:rsidP="00AB64F0">
            <w:pPr>
              <w:jc w:val="center"/>
              <w:cnfStyle w:val="000000010000" w:firstRow="0" w:lastRow="0" w:firstColumn="0" w:lastColumn="0" w:oddVBand="0" w:evenVBand="0" w:oddHBand="0" w:evenHBand="1" w:firstRowFirstColumn="0" w:firstRowLastColumn="0" w:lastRowFirstColumn="0" w:lastRowLastColumn="0"/>
            </w:pPr>
          </w:p>
          <w:p w:rsidR="003E2CA0" w:rsidRPr="00F32BCE" w:rsidRDefault="003E2CA0" w:rsidP="00AB64F0">
            <w:pPr>
              <w:jc w:val="center"/>
              <w:cnfStyle w:val="000000010000" w:firstRow="0" w:lastRow="0" w:firstColumn="0" w:lastColumn="0" w:oddVBand="0" w:evenVBand="0" w:oddHBand="0" w:evenHBand="1" w:firstRowFirstColumn="0" w:firstRowLastColumn="0" w:lastRowFirstColumn="0" w:lastRowLastColumn="0"/>
            </w:pPr>
          </w:p>
          <w:p w:rsidR="003E2CA0" w:rsidRPr="00F32BCE" w:rsidRDefault="003E2CA0" w:rsidP="00AB64F0">
            <w:pPr>
              <w:jc w:val="center"/>
              <w:cnfStyle w:val="000000010000" w:firstRow="0" w:lastRow="0" w:firstColumn="0" w:lastColumn="0" w:oddVBand="0" w:evenVBand="0" w:oddHBand="0" w:evenHBand="1" w:firstRowFirstColumn="0" w:firstRowLastColumn="0" w:lastRowFirstColumn="0" w:lastRowLastColumn="0"/>
            </w:pPr>
            <w:r w:rsidRPr="00F32BCE">
              <w:t>FERS</w:t>
            </w:r>
          </w:p>
        </w:tc>
        <w:tc>
          <w:tcPr>
            <w:tcW w:w="2055" w:type="dxa"/>
          </w:tcPr>
          <w:p w:rsidR="003E2CA0" w:rsidRPr="00F32BCE" w:rsidRDefault="003E2CA0" w:rsidP="003E2CA0">
            <w:pPr>
              <w:pStyle w:val="Paragrafoelenco"/>
              <w:widowControl w:val="0"/>
              <w:numPr>
                <w:ilvl w:val="0"/>
                <w:numId w:val="13"/>
              </w:numPr>
              <w:autoSpaceDE w:val="0"/>
              <w:autoSpaceDN w:val="0"/>
              <w:adjustRightInd w:val="0"/>
              <w:spacing w:after="240"/>
              <w:ind w:left="356"/>
              <w:cnfStyle w:val="000000010000" w:firstRow="0" w:lastRow="0" w:firstColumn="0" w:lastColumn="0" w:oddVBand="0" w:evenVBand="0" w:oddHBand="0" w:evenHBand="1" w:firstRowFirstColumn="0" w:firstRowLastColumn="0" w:lastRowFirstColumn="0" w:lastRowLastColumn="0"/>
            </w:pPr>
            <w:r w:rsidRPr="00F32BCE">
              <w:t xml:space="preserve">Iniziativa faro: Resource </w:t>
            </w:r>
            <w:proofErr w:type="spellStart"/>
            <w:r w:rsidRPr="00F32BCE">
              <w:t>Efficient</w:t>
            </w:r>
            <w:proofErr w:type="spellEnd"/>
            <w:r w:rsidRPr="00F32BCE">
              <w:t xml:space="preserve"> Europe </w:t>
            </w:r>
          </w:p>
          <w:p w:rsidR="003E2CA0" w:rsidRPr="00F32BCE" w:rsidRDefault="003E2CA0" w:rsidP="003E2CA0">
            <w:pPr>
              <w:pStyle w:val="Paragrafoelenco"/>
              <w:widowControl w:val="0"/>
              <w:numPr>
                <w:ilvl w:val="0"/>
                <w:numId w:val="13"/>
              </w:numPr>
              <w:autoSpaceDE w:val="0"/>
              <w:autoSpaceDN w:val="0"/>
              <w:adjustRightInd w:val="0"/>
              <w:spacing w:after="240"/>
              <w:ind w:left="356"/>
              <w:cnfStyle w:val="000000010000" w:firstRow="0" w:lastRow="0" w:firstColumn="0" w:lastColumn="0" w:oddVBand="0" w:evenVBand="0" w:oddHBand="0" w:evenHBand="1" w:firstRowFirstColumn="0" w:firstRowLastColumn="0" w:lastRowFirstColumn="0" w:lastRowLastColumn="0"/>
            </w:pPr>
            <w:r w:rsidRPr="00F32BCE">
              <w:t>Creative Europe</w:t>
            </w:r>
          </w:p>
        </w:tc>
      </w:tr>
      <w:tr w:rsidR="003E2CA0" w:rsidRPr="00F32BCE" w:rsidTr="00AB64F0">
        <w:trPr>
          <w:cnfStyle w:val="000000100000" w:firstRow="0" w:lastRow="0" w:firstColumn="0" w:lastColumn="0" w:oddVBand="0" w:evenVBand="0" w:oddHBand="1" w:evenHBand="0" w:firstRowFirstColumn="0" w:firstRowLastColumn="0" w:lastRowFirstColumn="0" w:lastRowLastColumn="0"/>
          <w:trHeight w:val="2567"/>
        </w:trPr>
        <w:tc>
          <w:tcPr>
            <w:cnfStyle w:val="001000000000" w:firstRow="0" w:lastRow="0" w:firstColumn="1" w:lastColumn="0" w:oddVBand="0" w:evenVBand="0" w:oddHBand="0" w:evenHBand="0" w:firstRowFirstColumn="0" w:firstRowLastColumn="0" w:lastRowFirstColumn="0" w:lastRowLastColumn="0"/>
            <w:tcW w:w="2055" w:type="dxa"/>
          </w:tcPr>
          <w:p w:rsidR="003E2CA0" w:rsidRPr="00F32BCE" w:rsidRDefault="003E2CA0" w:rsidP="00AB64F0">
            <w:pPr>
              <w:jc w:val="both"/>
            </w:pPr>
            <w:r w:rsidRPr="00F32BCE">
              <w:t>Crescita inclusiva</w:t>
            </w:r>
          </w:p>
        </w:tc>
        <w:tc>
          <w:tcPr>
            <w:tcW w:w="2055" w:type="dxa"/>
          </w:tcPr>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r w:rsidRPr="00F32BCE">
              <w:t>4. Promuovere l’inclusione sociale</w:t>
            </w:r>
          </w:p>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r w:rsidRPr="00F32BCE">
              <w:t>5. Promuovere l’occupazione e sostenere la mobilità dei lavoratori</w:t>
            </w:r>
          </w:p>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r w:rsidRPr="00F32BCE">
              <w:t>6. Life Long Learning</w:t>
            </w:r>
          </w:p>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r w:rsidRPr="00F32BCE">
              <w:t>7. Pubblica Amministrazione più efficiente</w:t>
            </w:r>
          </w:p>
        </w:tc>
        <w:tc>
          <w:tcPr>
            <w:tcW w:w="2055" w:type="dxa"/>
          </w:tcPr>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p>
          <w:p w:rsidR="003E2CA0" w:rsidRPr="00F32BCE" w:rsidRDefault="003E2CA0" w:rsidP="00AB64F0">
            <w:pPr>
              <w:jc w:val="center"/>
              <w:cnfStyle w:val="000000100000" w:firstRow="0" w:lastRow="0" w:firstColumn="0" w:lastColumn="0" w:oddVBand="0" w:evenVBand="0" w:oddHBand="1" w:evenHBand="0" w:firstRowFirstColumn="0" w:firstRowLastColumn="0" w:lastRowFirstColumn="0" w:lastRowLastColumn="0"/>
            </w:pPr>
            <w:r w:rsidRPr="00F32BCE">
              <w:t>FSE e FERS</w:t>
            </w:r>
          </w:p>
        </w:tc>
        <w:tc>
          <w:tcPr>
            <w:tcW w:w="2055" w:type="dxa"/>
          </w:tcPr>
          <w:p w:rsidR="003E2CA0" w:rsidRPr="00F32BCE" w:rsidRDefault="003E2CA0" w:rsidP="003E2CA0">
            <w:pPr>
              <w:pStyle w:val="Paragrafoelenco"/>
              <w:widowControl w:val="0"/>
              <w:numPr>
                <w:ilvl w:val="0"/>
                <w:numId w:val="14"/>
              </w:numPr>
              <w:autoSpaceDE w:val="0"/>
              <w:autoSpaceDN w:val="0"/>
              <w:adjustRightInd w:val="0"/>
              <w:spacing w:after="240"/>
              <w:ind w:left="356"/>
              <w:cnfStyle w:val="000000100000" w:firstRow="0" w:lastRow="0" w:firstColumn="0" w:lastColumn="0" w:oddVBand="0" w:evenVBand="0" w:oddHBand="1" w:evenHBand="0" w:firstRowFirstColumn="0" w:firstRowLastColumn="0" w:lastRowFirstColumn="0" w:lastRowLastColumn="0"/>
            </w:pPr>
            <w:proofErr w:type="spellStart"/>
            <w:r w:rsidRPr="00F32BCE">
              <w:t>Emploiment</w:t>
            </w:r>
            <w:proofErr w:type="spellEnd"/>
            <w:r w:rsidRPr="00F32BCE">
              <w:t xml:space="preserve"> </w:t>
            </w:r>
            <w:proofErr w:type="spellStart"/>
            <w:r w:rsidRPr="00F32BCE">
              <w:t>Guideline</w:t>
            </w:r>
            <w:proofErr w:type="spellEnd"/>
            <w:r w:rsidRPr="00F32BCE">
              <w:t xml:space="preserve"> </w:t>
            </w:r>
            <w:proofErr w:type="gramStart"/>
            <w:r w:rsidRPr="00F32BCE">
              <w:t>7</w:t>
            </w:r>
            <w:proofErr w:type="gramEnd"/>
            <w:r w:rsidRPr="00F32BCE">
              <w:t xml:space="preserve"> 2020 </w:t>
            </w:r>
          </w:p>
          <w:p w:rsidR="003E2CA0" w:rsidRPr="00E030C7" w:rsidRDefault="003E2CA0" w:rsidP="003E2CA0">
            <w:pPr>
              <w:pStyle w:val="Paragrafoelenco"/>
              <w:widowControl w:val="0"/>
              <w:numPr>
                <w:ilvl w:val="0"/>
                <w:numId w:val="14"/>
              </w:numPr>
              <w:autoSpaceDE w:val="0"/>
              <w:autoSpaceDN w:val="0"/>
              <w:adjustRightInd w:val="0"/>
              <w:spacing w:after="240"/>
              <w:ind w:left="356"/>
              <w:cnfStyle w:val="000000100000" w:firstRow="0" w:lastRow="0" w:firstColumn="0" w:lastColumn="0" w:oddVBand="0" w:evenVBand="0" w:oddHBand="1" w:evenHBand="0" w:firstRowFirstColumn="0" w:firstRowLastColumn="0" w:lastRowFirstColumn="0" w:lastRowLastColumn="0"/>
              <w:rPr>
                <w:lang w:val="en-GB"/>
              </w:rPr>
            </w:pPr>
            <w:r w:rsidRPr="00E030C7">
              <w:rPr>
                <w:lang w:val="en-GB"/>
              </w:rPr>
              <w:t xml:space="preserve">Program for Social Change and Innovation </w:t>
            </w:r>
          </w:p>
          <w:p w:rsidR="003E2CA0" w:rsidRPr="00F32BCE" w:rsidRDefault="003E2CA0" w:rsidP="003E2CA0">
            <w:pPr>
              <w:pStyle w:val="Paragrafoelenco"/>
              <w:widowControl w:val="0"/>
              <w:numPr>
                <w:ilvl w:val="0"/>
                <w:numId w:val="14"/>
              </w:numPr>
              <w:autoSpaceDE w:val="0"/>
              <w:autoSpaceDN w:val="0"/>
              <w:adjustRightInd w:val="0"/>
              <w:spacing w:after="240"/>
              <w:ind w:left="356"/>
              <w:cnfStyle w:val="000000100000" w:firstRow="0" w:lastRow="0" w:firstColumn="0" w:lastColumn="0" w:oddVBand="0" w:evenVBand="0" w:oddHBand="1" w:evenHBand="0" w:firstRowFirstColumn="0" w:firstRowLastColumn="0" w:lastRowFirstColumn="0" w:lastRowLastColumn="0"/>
            </w:pPr>
            <w:r w:rsidRPr="00F32BCE">
              <w:t xml:space="preserve">Erasmus for </w:t>
            </w:r>
            <w:proofErr w:type="spellStart"/>
            <w:r w:rsidRPr="00F32BCE">
              <w:t>all</w:t>
            </w:r>
            <w:proofErr w:type="spellEnd"/>
          </w:p>
          <w:p w:rsidR="003E2CA0" w:rsidRPr="00F32BCE" w:rsidRDefault="003E2CA0" w:rsidP="00AB64F0">
            <w:pPr>
              <w:jc w:val="both"/>
              <w:cnfStyle w:val="000000100000" w:firstRow="0" w:lastRow="0" w:firstColumn="0" w:lastColumn="0" w:oddVBand="0" w:evenVBand="0" w:oddHBand="1" w:evenHBand="0" w:firstRowFirstColumn="0" w:firstRowLastColumn="0" w:lastRowFirstColumn="0" w:lastRowLastColumn="0"/>
            </w:pPr>
          </w:p>
        </w:tc>
      </w:tr>
    </w:tbl>
    <w:p w:rsidR="003E2CA0" w:rsidRDefault="003E2CA0" w:rsidP="003E2CA0">
      <w:pPr>
        <w:jc w:val="both"/>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bookmarkStart w:id="0" w:name="_GoBack"/>
      <w:bookmarkEnd w:id="0"/>
    </w:p>
    <w:p w:rsidR="003E2CA0" w:rsidRPr="00CD388E" w:rsidRDefault="003E2CA0" w:rsidP="003E2CA0">
      <w:pPr>
        <w:spacing w:line="280" w:lineRule="exact"/>
        <w:jc w:val="both"/>
        <w:rPr>
          <w:rFonts w:ascii="Arial" w:hAnsi="Arial" w:cs="Arial"/>
          <w:b/>
          <w:iCs/>
          <w:sz w:val="22"/>
          <w:szCs w:val="22"/>
        </w:rPr>
      </w:pPr>
      <w:r w:rsidRPr="00CD388E">
        <w:rPr>
          <w:rFonts w:ascii="Arial" w:hAnsi="Arial" w:cs="Arial"/>
          <w:b/>
          <w:iCs/>
          <w:sz w:val="22"/>
          <w:szCs w:val="22"/>
        </w:rPr>
        <w:t>Testimonianza di un esperto in ambito europeo per la formazione (a cura di Tommaso Grimaldi EVTA)</w:t>
      </w:r>
      <w:r>
        <w:rPr>
          <w:rFonts w:ascii="Arial" w:hAnsi="Arial" w:cs="Arial"/>
          <w:b/>
          <w:iCs/>
          <w:sz w:val="22"/>
          <w:szCs w:val="22"/>
        </w:rPr>
        <w:fldChar w:fldCharType="begin"/>
      </w:r>
      <w:r>
        <w:instrText xml:space="preserve"> XE "</w:instrText>
      </w:r>
      <w:r w:rsidRPr="00CD388E">
        <w:rPr>
          <w:rFonts w:ascii="Arial" w:hAnsi="Arial" w:cs="Arial"/>
          <w:b/>
          <w:iCs/>
          <w:sz w:val="22"/>
          <w:szCs w:val="22"/>
        </w:rPr>
        <w:instrText>Testimonianza di un esperto in ambito europeo per la formazione (a cura di Tommaso Grimaldi EVTA)</w:instrText>
      </w:r>
      <w:r>
        <w:instrText xml:space="preserve">" </w:instrText>
      </w:r>
      <w:r>
        <w:rPr>
          <w:rFonts w:ascii="Arial" w:hAnsi="Arial" w:cs="Arial"/>
          <w:b/>
          <w:iCs/>
          <w:sz w:val="22"/>
          <w:szCs w:val="22"/>
        </w:rPr>
        <w:fldChar w:fldCharType="end"/>
      </w:r>
    </w:p>
    <w:p w:rsidR="003E2CA0" w:rsidRPr="003312AE" w:rsidRDefault="003E2CA0" w:rsidP="003E2CA0">
      <w:pPr>
        <w:spacing w:line="280" w:lineRule="exact"/>
        <w:jc w:val="both"/>
        <w:rPr>
          <w:rFonts w:ascii="Arial" w:hAnsi="Arial" w:cs="Arial"/>
          <w:b/>
          <w:iCs/>
        </w:rPr>
      </w:pPr>
    </w:p>
    <w:p w:rsidR="003E2CA0" w:rsidRPr="00CD388E" w:rsidRDefault="003E2CA0" w:rsidP="003E2CA0">
      <w:pPr>
        <w:spacing w:line="280" w:lineRule="exact"/>
        <w:jc w:val="both"/>
        <w:rPr>
          <w:i/>
          <w:sz w:val="22"/>
          <w:szCs w:val="22"/>
        </w:rPr>
      </w:pPr>
      <w:r>
        <w:rPr>
          <w:i/>
        </w:rPr>
        <w:t xml:space="preserve">   </w:t>
      </w:r>
      <w:r w:rsidRPr="00CD388E">
        <w:rPr>
          <w:i/>
          <w:sz w:val="22"/>
          <w:szCs w:val="22"/>
        </w:rPr>
        <w:t>Intervista a Tommaso Grimaldi, Esperto Delegato presso il Comitato Economico e Sociale Europeo (CESE), per il Gruppo III, che contribuisce ai lavori della Commissione Consultiva riguardo ai Cambiamenti Industriali (periodo 2011 – 2015).</w:t>
      </w:r>
    </w:p>
    <w:p w:rsidR="003E2CA0" w:rsidRPr="00CD388E" w:rsidRDefault="003E2CA0" w:rsidP="003E2CA0">
      <w:pPr>
        <w:spacing w:line="280" w:lineRule="exact"/>
        <w:jc w:val="both"/>
        <w:rPr>
          <w:i/>
          <w:sz w:val="22"/>
          <w:szCs w:val="22"/>
        </w:rPr>
      </w:pPr>
      <w:r w:rsidRPr="00CD388E">
        <w:rPr>
          <w:i/>
          <w:sz w:val="22"/>
          <w:szCs w:val="22"/>
        </w:rPr>
        <w:t xml:space="preserve">   Inoltre è Segretario Generale di EVTA (The </w:t>
      </w:r>
      <w:proofErr w:type="spellStart"/>
      <w:r w:rsidRPr="00CD388E">
        <w:rPr>
          <w:i/>
          <w:sz w:val="22"/>
          <w:szCs w:val="22"/>
        </w:rPr>
        <w:t>European</w:t>
      </w:r>
      <w:proofErr w:type="spellEnd"/>
      <w:r w:rsidRPr="00CD388E">
        <w:rPr>
          <w:i/>
          <w:sz w:val="22"/>
          <w:szCs w:val="22"/>
        </w:rPr>
        <w:t xml:space="preserve"> </w:t>
      </w:r>
      <w:proofErr w:type="spellStart"/>
      <w:r w:rsidRPr="00CD388E">
        <w:rPr>
          <w:i/>
          <w:sz w:val="22"/>
          <w:szCs w:val="22"/>
        </w:rPr>
        <w:t>Vocational</w:t>
      </w:r>
      <w:proofErr w:type="spellEnd"/>
      <w:r w:rsidRPr="00CD388E">
        <w:rPr>
          <w:i/>
          <w:sz w:val="22"/>
          <w:szCs w:val="22"/>
        </w:rPr>
        <w:t xml:space="preserve"> Training </w:t>
      </w:r>
      <w:proofErr w:type="spellStart"/>
      <w:r w:rsidRPr="00CD388E">
        <w:rPr>
          <w:i/>
          <w:sz w:val="22"/>
          <w:szCs w:val="22"/>
        </w:rPr>
        <w:t>Association</w:t>
      </w:r>
      <w:proofErr w:type="spellEnd"/>
      <w:r w:rsidRPr="00CD388E">
        <w:rPr>
          <w:i/>
          <w:sz w:val="22"/>
          <w:szCs w:val="22"/>
        </w:rPr>
        <w:t xml:space="preserve">) da più di </w:t>
      </w:r>
      <w:proofErr w:type="gramStart"/>
      <w:r w:rsidRPr="00CD388E">
        <w:rPr>
          <w:i/>
          <w:sz w:val="22"/>
          <w:szCs w:val="22"/>
        </w:rPr>
        <w:t>12</w:t>
      </w:r>
      <w:proofErr w:type="gramEnd"/>
      <w:r w:rsidRPr="00CD388E">
        <w:rPr>
          <w:i/>
          <w:sz w:val="22"/>
          <w:szCs w:val="22"/>
        </w:rPr>
        <w:t xml:space="preserve"> anni; le sue aree di sviluppo sono: l’approccio del Knowledge Management nel settore della formazione professionale, rivolto a definire valore aggiunto all’interno del network di cui è responsabile in relazione ai bisogni dei membri associati; stabilire un sistema di Knowledge Management per il settore dell’Educazione e Formazione Professionale, fortemente ispirato al modello della “Learning </w:t>
      </w:r>
      <w:proofErr w:type="spellStart"/>
      <w:r w:rsidRPr="00CD388E">
        <w:rPr>
          <w:i/>
          <w:sz w:val="22"/>
          <w:szCs w:val="22"/>
        </w:rPr>
        <w:t>Organisation</w:t>
      </w:r>
      <w:proofErr w:type="spellEnd"/>
      <w:r w:rsidRPr="00CD388E">
        <w:rPr>
          <w:i/>
          <w:sz w:val="22"/>
          <w:szCs w:val="22"/>
        </w:rPr>
        <w:t>”.</w:t>
      </w:r>
    </w:p>
    <w:p w:rsidR="003E2CA0" w:rsidRPr="00CD388E" w:rsidRDefault="003E2CA0" w:rsidP="003E2CA0">
      <w:pPr>
        <w:spacing w:line="280" w:lineRule="exact"/>
        <w:jc w:val="both"/>
        <w:rPr>
          <w:i/>
          <w:sz w:val="22"/>
          <w:szCs w:val="22"/>
        </w:rPr>
      </w:pPr>
      <w:r w:rsidRPr="00CD388E">
        <w:rPr>
          <w:i/>
          <w:sz w:val="22"/>
          <w:szCs w:val="22"/>
        </w:rPr>
        <w:t xml:space="preserve">   Inoltre è co-fondatore di EUCIS,</w:t>
      </w:r>
      <w:r w:rsidRPr="00CD388E">
        <w:rPr>
          <w:rFonts w:ascii="Helvetica" w:hAnsi="Helvetica" w:cs="Helvetica"/>
          <w:sz w:val="22"/>
          <w:szCs w:val="22"/>
        </w:rPr>
        <w:t xml:space="preserve"> </w:t>
      </w:r>
      <w:proofErr w:type="spellStart"/>
      <w:r w:rsidRPr="00CD388E">
        <w:rPr>
          <w:i/>
          <w:sz w:val="22"/>
          <w:szCs w:val="22"/>
        </w:rPr>
        <w:t>European</w:t>
      </w:r>
      <w:proofErr w:type="spellEnd"/>
      <w:r w:rsidRPr="00CD388E">
        <w:rPr>
          <w:i/>
          <w:sz w:val="22"/>
          <w:szCs w:val="22"/>
        </w:rPr>
        <w:t xml:space="preserve"> </w:t>
      </w:r>
      <w:proofErr w:type="spellStart"/>
      <w:r w:rsidRPr="00CD388E">
        <w:rPr>
          <w:i/>
          <w:sz w:val="22"/>
          <w:szCs w:val="22"/>
        </w:rPr>
        <w:t>Civil</w:t>
      </w:r>
      <w:proofErr w:type="spellEnd"/>
      <w:r w:rsidRPr="00CD388E">
        <w:rPr>
          <w:i/>
          <w:sz w:val="22"/>
          <w:szCs w:val="22"/>
        </w:rPr>
        <w:t xml:space="preserve"> </w:t>
      </w:r>
      <w:proofErr w:type="gramStart"/>
      <w:r w:rsidRPr="00CD388E">
        <w:rPr>
          <w:i/>
          <w:sz w:val="22"/>
          <w:szCs w:val="22"/>
        </w:rPr>
        <w:t>Society</w:t>
      </w:r>
      <w:proofErr w:type="gramEnd"/>
      <w:r w:rsidRPr="00CD388E">
        <w:rPr>
          <w:i/>
          <w:sz w:val="22"/>
          <w:szCs w:val="22"/>
        </w:rPr>
        <w:t xml:space="preserve"> Platform network, per la </w:t>
      </w:r>
      <w:proofErr w:type="spellStart"/>
      <w:r w:rsidRPr="00CD388E">
        <w:rPr>
          <w:i/>
          <w:sz w:val="22"/>
          <w:szCs w:val="22"/>
        </w:rPr>
        <w:t>Lifelong</w:t>
      </w:r>
      <w:proofErr w:type="spellEnd"/>
      <w:r w:rsidRPr="00CD388E">
        <w:rPr>
          <w:i/>
          <w:sz w:val="22"/>
          <w:szCs w:val="22"/>
        </w:rPr>
        <w:t xml:space="preserve"> Learning.</w:t>
      </w:r>
    </w:p>
    <w:p w:rsidR="003E2CA0" w:rsidRPr="00D26338" w:rsidRDefault="003E2CA0" w:rsidP="003E2CA0">
      <w:pPr>
        <w:spacing w:line="280" w:lineRule="exact"/>
        <w:jc w:val="both"/>
        <w:rPr>
          <w:rFonts w:ascii="Arial" w:hAnsi="Arial" w:cs="Arial"/>
          <w:b/>
          <w:iCs/>
        </w:rPr>
      </w:pPr>
    </w:p>
    <w:p w:rsidR="003E2CA0" w:rsidRPr="003312AE" w:rsidRDefault="003E2CA0" w:rsidP="003E2CA0">
      <w:pPr>
        <w:spacing w:line="280" w:lineRule="exact"/>
        <w:jc w:val="both"/>
        <w:rPr>
          <w:rFonts w:ascii="Arial" w:hAnsi="Arial" w:cs="Arial"/>
          <w:b/>
          <w:iCs/>
        </w:rPr>
      </w:pPr>
      <w:r w:rsidRPr="003312AE">
        <w:rPr>
          <w:rFonts w:ascii="Helvetica" w:hAnsi="Helvetica" w:cs="Helvetica"/>
          <w:sz w:val="26"/>
          <w:szCs w:val="26"/>
        </w:rPr>
        <w:t> </w:t>
      </w:r>
    </w:p>
    <w:p w:rsidR="003E2CA0" w:rsidRPr="00CD388E" w:rsidRDefault="003E2CA0" w:rsidP="003E2CA0">
      <w:pPr>
        <w:spacing w:line="280" w:lineRule="exact"/>
        <w:jc w:val="both"/>
        <w:rPr>
          <w:rFonts w:ascii="Arial" w:hAnsi="Arial" w:cs="Arial"/>
          <w:b/>
          <w:iCs/>
          <w:sz w:val="20"/>
          <w:szCs w:val="20"/>
        </w:rPr>
      </w:pPr>
      <w:r w:rsidRPr="00CD388E">
        <w:rPr>
          <w:rFonts w:ascii="Arial" w:hAnsi="Arial" w:cs="Arial"/>
          <w:b/>
          <w:iCs/>
          <w:sz w:val="20"/>
          <w:szCs w:val="20"/>
        </w:rPr>
        <w:t>Dott. Grimaldi, anche in base alla sua pluriennale esperienza nel mondo della formazione in Europa, qual è la sua visione della formazione professionale in questo momento?</w:t>
      </w:r>
    </w:p>
    <w:p w:rsidR="003E2CA0" w:rsidRPr="003312AE" w:rsidRDefault="003E2CA0" w:rsidP="003E2CA0">
      <w:pPr>
        <w:spacing w:line="280" w:lineRule="exact"/>
        <w:jc w:val="both"/>
        <w:rPr>
          <w:rFonts w:ascii="Arial" w:hAnsi="Arial" w:cs="Arial"/>
          <w:b/>
          <w:iCs/>
        </w:rPr>
      </w:pPr>
    </w:p>
    <w:p w:rsidR="003E2CA0" w:rsidRPr="00CD388E" w:rsidRDefault="003E2CA0" w:rsidP="003E2CA0">
      <w:pPr>
        <w:spacing w:line="280" w:lineRule="exact"/>
        <w:jc w:val="both"/>
        <w:rPr>
          <w:sz w:val="22"/>
          <w:szCs w:val="22"/>
        </w:rPr>
      </w:pPr>
      <w:r>
        <w:rPr>
          <w:rFonts w:ascii="Arial" w:hAnsi="Arial" w:cs="Arial"/>
          <w:iCs/>
        </w:rPr>
        <w:t xml:space="preserve">   </w:t>
      </w:r>
      <w:r w:rsidRPr="00CD388E">
        <w:rPr>
          <w:sz w:val="22"/>
          <w:szCs w:val="22"/>
        </w:rPr>
        <w:t xml:space="preserve">Penso che </w:t>
      </w:r>
      <w:proofErr w:type="gramStart"/>
      <w:r w:rsidRPr="00CD388E">
        <w:rPr>
          <w:sz w:val="22"/>
          <w:szCs w:val="22"/>
        </w:rPr>
        <w:t>ad</w:t>
      </w:r>
      <w:proofErr w:type="gramEnd"/>
      <w:r w:rsidRPr="00CD388E">
        <w:rPr>
          <w:sz w:val="22"/>
          <w:szCs w:val="22"/>
        </w:rPr>
        <w:t xml:space="preserve"> oggi non esista in Europa un vero dibattito sulla formazione, oggi prevale:</w:t>
      </w:r>
    </w:p>
    <w:p w:rsidR="003E2CA0" w:rsidRPr="00CD388E" w:rsidRDefault="003E2CA0" w:rsidP="003E2CA0">
      <w:pPr>
        <w:spacing w:line="280" w:lineRule="exact"/>
        <w:jc w:val="both"/>
        <w:rPr>
          <w:sz w:val="22"/>
          <w:szCs w:val="22"/>
        </w:rPr>
      </w:pPr>
    </w:p>
    <w:p w:rsidR="003E2CA0" w:rsidRPr="00CD388E" w:rsidRDefault="003E2CA0" w:rsidP="003E2CA0">
      <w:pPr>
        <w:pStyle w:val="Paragrafoelenco"/>
        <w:numPr>
          <w:ilvl w:val="0"/>
          <w:numId w:val="20"/>
        </w:numPr>
        <w:spacing w:line="280" w:lineRule="exact"/>
        <w:jc w:val="both"/>
        <w:rPr>
          <w:sz w:val="22"/>
          <w:szCs w:val="22"/>
        </w:rPr>
      </w:pPr>
      <w:r w:rsidRPr="00CD388E">
        <w:rPr>
          <w:sz w:val="22"/>
          <w:szCs w:val="22"/>
        </w:rPr>
        <w:t xml:space="preserve">L’approccio “mercato”, ossia la Formazione Professionale è considerata soprattutto un prodotto sul mercato, se ci confrontiamo con la direttiva </w:t>
      </w:r>
      <w:proofErr w:type="spellStart"/>
      <w:r w:rsidRPr="00CD388E">
        <w:rPr>
          <w:sz w:val="22"/>
          <w:szCs w:val="22"/>
        </w:rPr>
        <w:t>Bolkenstein</w:t>
      </w:r>
      <w:proofErr w:type="spellEnd"/>
      <w:r w:rsidRPr="00CD388E">
        <w:rPr>
          <w:sz w:val="22"/>
          <w:szCs w:val="22"/>
        </w:rPr>
        <w:t>!</w:t>
      </w:r>
    </w:p>
    <w:p w:rsidR="003E2CA0" w:rsidRPr="00CD388E" w:rsidRDefault="003E2CA0" w:rsidP="003E2CA0">
      <w:pPr>
        <w:pStyle w:val="Paragrafoelenco"/>
        <w:spacing w:line="280" w:lineRule="exact"/>
        <w:ind w:left="792"/>
        <w:jc w:val="both"/>
        <w:rPr>
          <w:sz w:val="22"/>
          <w:szCs w:val="22"/>
        </w:rPr>
      </w:pPr>
    </w:p>
    <w:p w:rsidR="003E2CA0" w:rsidRPr="00CD388E" w:rsidRDefault="003E2CA0" w:rsidP="003E2CA0">
      <w:pPr>
        <w:spacing w:line="280" w:lineRule="exact"/>
        <w:jc w:val="both"/>
        <w:rPr>
          <w:sz w:val="22"/>
          <w:szCs w:val="22"/>
        </w:rPr>
      </w:pPr>
      <w:r w:rsidRPr="00CD388E">
        <w:rPr>
          <w:sz w:val="22"/>
          <w:szCs w:val="22"/>
        </w:rPr>
        <w:t xml:space="preserve">   Questo riferimento al mercato s’innesta in un quadro politico istituzionale debole:</w:t>
      </w:r>
    </w:p>
    <w:p w:rsidR="003E2CA0" w:rsidRPr="00CD388E" w:rsidRDefault="003E2CA0" w:rsidP="003E2CA0">
      <w:pPr>
        <w:spacing w:line="280" w:lineRule="exact"/>
        <w:jc w:val="both"/>
        <w:rPr>
          <w:sz w:val="22"/>
          <w:szCs w:val="22"/>
        </w:rPr>
      </w:pPr>
    </w:p>
    <w:p w:rsidR="003E2CA0" w:rsidRPr="00CD388E" w:rsidRDefault="003E2CA0" w:rsidP="003E2CA0">
      <w:pPr>
        <w:pStyle w:val="Paragrafoelenco"/>
        <w:numPr>
          <w:ilvl w:val="0"/>
          <w:numId w:val="20"/>
        </w:numPr>
        <w:spacing w:line="280" w:lineRule="exact"/>
        <w:jc w:val="both"/>
        <w:rPr>
          <w:sz w:val="22"/>
          <w:szCs w:val="22"/>
        </w:rPr>
      </w:pPr>
      <w:r w:rsidRPr="00CD388E">
        <w:rPr>
          <w:sz w:val="22"/>
          <w:szCs w:val="22"/>
        </w:rPr>
        <w:t>Educazione e Cultura sono materie nazionali e non europee;</w:t>
      </w:r>
    </w:p>
    <w:p w:rsidR="003E2CA0" w:rsidRPr="00CD388E" w:rsidRDefault="003E2CA0" w:rsidP="003E2CA0">
      <w:pPr>
        <w:pStyle w:val="Paragrafoelenco"/>
        <w:numPr>
          <w:ilvl w:val="0"/>
          <w:numId w:val="20"/>
        </w:numPr>
        <w:spacing w:line="280" w:lineRule="exact"/>
        <w:jc w:val="both"/>
        <w:rPr>
          <w:sz w:val="22"/>
          <w:szCs w:val="22"/>
        </w:rPr>
      </w:pPr>
      <w:r w:rsidRPr="00CD388E">
        <w:rPr>
          <w:sz w:val="22"/>
          <w:szCs w:val="22"/>
        </w:rPr>
        <w:t>Domina una lettura nazionale delle politiche per la Formazione Professionale e l’Educazione;</w:t>
      </w:r>
    </w:p>
    <w:p w:rsidR="003E2CA0" w:rsidRPr="00CD388E" w:rsidRDefault="003E2CA0" w:rsidP="003E2CA0">
      <w:pPr>
        <w:pStyle w:val="Paragrafoelenco"/>
        <w:numPr>
          <w:ilvl w:val="0"/>
          <w:numId w:val="20"/>
        </w:numPr>
        <w:spacing w:line="280" w:lineRule="exact"/>
        <w:jc w:val="both"/>
        <w:rPr>
          <w:sz w:val="22"/>
          <w:szCs w:val="22"/>
        </w:rPr>
      </w:pPr>
      <w:r w:rsidRPr="00CD388E">
        <w:rPr>
          <w:sz w:val="22"/>
          <w:szCs w:val="22"/>
        </w:rPr>
        <w:t xml:space="preserve">Il modello di </w:t>
      </w:r>
      <w:proofErr w:type="spellStart"/>
      <w:r w:rsidRPr="00CD388E">
        <w:rPr>
          <w:i/>
          <w:sz w:val="22"/>
          <w:szCs w:val="22"/>
        </w:rPr>
        <w:t>governance</w:t>
      </w:r>
      <w:proofErr w:type="spellEnd"/>
      <w:r w:rsidRPr="00CD388E">
        <w:rPr>
          <w:sz w:val="22"/>
          <w:szCs w:val="22"/>
        </w:rPr>
        <w:t xml:space="preserve"> istituzionale che ovviamente non ha valore </w:t>
      </w:r>
      <w:proofErr w:type="gramStart"/>
      <w:r w:rsidRPr="00CD388E">
        <w:rPr>
          <w:sz w:val="22"/>
          <w:szCs w:val="22"/>
        </w:rPr>
        <w:t>giuridico</w:t>
      </w:r>
      <w:proofErr w:type="gramEnd"/>
      <w:r w:rsidRPr="00CD388E">
        <w:rPr>
          <w:sz w:val="22"/>
          <w:szCs w:val="22"/>
        </w:rPr>
        <w:t xml:space="preserve"> ma è piuttosto un “</w:t>
      </w:r>
      <w:r w:rsidRPr="00CD388E">
        <w:rPr>
          <w:i/>
          <w:sz w:val="22"/>
          <w:szCs w:val="22"/>
        </w:rPr>
        <w:t xml:space="preserve">Gentlemen </w:t>
      </w:r>
      <w:proofErr w:type="spellStart"/>
      <w:r w:rsidRPr="00CD388E">
        <w:rPr>
          <w:i/>
          <w:sz w:val="22"/>
          <w:szCs w:val="22"/>
        </w:rPr>
        <w:t>agreement</w:t>
      </w:r>
      <w:proofErr w:type="spellEnd"/>
      <w:r w:rsidRPr="00CD388E">
        <w:rPr>
          <w:sz w:val="22"/>
          <w:szCs w:val="22"/>
        </w:rPr>
        <w:t>”</w:t>
      </w:r>
    </w:p>
    <w:p w:rsidR="003E2CA0" w:rsidRPr="00CD388E" w:rsidRDefault="003E2CA0" w:rsidP="003E2CA0">
      <w:pPr>
        <w:pStyle w:val="Paragrafoelenco"/>
        <w:spacing w:line="280" w:lineRule="exact"/>
        <w:ind w:left="792"/>
        <w:jc w:val="both"/>
        <w:rPr>
          <w:sz w:val="22"/>
          <w:szCs w:val="22"/>
        </w:rPr>
      </w:pPr>
    </w:p>
    <w:p w:rsidR="003E2CA0" w:rsidRPr="00CD388E" w:rsidRDefault="003E2CA0" w:rsidP="003E2CA0">
      <w:pPr>
        <w:widowControl w:val="0"/>
        <w:autoSpaceDE w:val="0"/>
        <w:autoSpaceDN w:val="0"/>
        <w:adjustRightInd w:val="0"/>
        <w:jc w:val="both"/>
        <w:rPr>
          <w:sz w:val="22"/>
          <w:szCs w:val="22"/>
        </w:rPr>
      </w:pPr>
      <w:r w:rsidRPr="00CD388E">
        <w:rPr>
          <w:sz w:val="22"/>
          <w:szCs w:val="22"/>
        </w:rPr>
        <w:t xml:space="preserve">   Malgrado ciò la Commissione continua a produrre riflessioni, studi, conferenze e con “garbo” </w:t>
      </w:r>
      <w:proofErr w:type="gramStart"/>
      <w:r w:rsidRPr="00CD388E">
        <w:rPr>
          <w:sz w:val="22"/>
          <w:szCs w:val="22"/>
        </w:rPr>
        <w:t>invita</w:t>
      </w:r>
      <w:proofErr w:type="gramEnd"/>
      <w:r w:rsidRPr="00CD388E">
        <w:rPr>
          <w:sz w:val="22"/>
          <w:szCs w:val="22"/>
        </w:rPr>
        <w:t xml:space="preserve"> i cittadini a essere più attenti.</w:t>
      </w:r>
    </w:p>
    <w:p w:rsidR="003E2CA0" w:rsidRPr="00CD388E" w:rsidRDefault="003E2CA0" w:rsidP="003E2CA0">
      <w:pPr>
        <w:widowControl w:val="0"/>
        <w:autoSpaceDE w:val="0"/>
        <w:autoSpaceDN w:val="0"/>
        <w:adjustRightInd w:val="0"/>
        <w:jc w:val="both"/>
        <w:rPr>
          <w:sz w:val="22"/>
          <w:szCs w:val="22"/>
        </w:rPr>
      </w:pPr>
    </w:p>
    <w:p w:rsidR="003E2CA0" w:rsidRPr="00CD388E" w:rsidRDefault="003E2CA0" w:rsidP="003E2CA0">
      <w:pPr>
        <w:widowControl w:val="0"/>
        <w:autoSpaceDE w:val="0"/>
        <w:autoSpaceDN w:val="0"/>
        <w:adjustRightInd w:val="0"/>
        <w:jc w:val="both"/>
        <w:rPr>
          <w:sz w:val="22"/>
          <w:szCs w:val="22"/>
        </w:rPr>
      </w:pPr>
      <w:r w:rsidRPr="00CD388E">
        <w:rPr>
          <w:sz w:val="22"/>
          <w:szCs w:val="22"/>
        </w:rPr>
        <w:t xml:space="preserve">   Sono tuttavia convinto che i cittadini - noi – non ascoltiamo e soprattutto pensiamo spesso all’Europa in termini di risorse e di finanziamenti.</w:t>
      </w:r>
    </w:p>
    <w:p w:rsidR="003E2CA0" w:rsidRPr="00CD388E" w:rsidRDefault="003E2CA0" w:rsidP="003E2CA0">
      <w:pPr>
        <w:widowControl w:val="0"/>
        <w:autoSpaceDE w:val="0"/>
        <w:autoSpaceDN w:val="0"/>
        <w:adjustRightInd w:val="0"/>
        <w:jc w:val="both"/>
        <w:rPr>
          <w:sz w:val="22"/>
          <w:szCs w:val="22"/>
        </w:rPr>
      </w:pPr>
    </w:p>
    <w:p w:rsidR="003E2CA0" w:rsidRPr="00CD388E" w:rsidRDefault="003E2CA0" w:rsidP="003E2CA0">
      <w:pPr>
        <w:widowControl w:val="0"/>
        <w:autoSpaceDE w:val="0"/>
        <w:autoSpaceDN w:val="0"/>
        <w:adjustRightInd w:val="0"/>
        <w:jc w:val="both"/>
        <w:rPr>
          <w:sz w:val="22"/>
          <w:szCs w:val="22"/>
        </w:rPr>
      </w:pPr>
      <w:r w:rsidRPr="00CD388E">
        <w:rPr>
          <w:sz w:val="22"/>
          <w:szCs w:val="22"/>
        </w:rPr>
        <w:t xml:space="preserve">   Dobbiamo essere più aperti al progetto EUROPA e contribuire alla realizzazione di un’Europa dei cittadini formati!</w:t>
      </w:r>
    </w:p>
    <w:p w:rsidR="003E2CA0" w:rsidRPr="00CD388E" w:rsidRDefault="003E2CA0" w:rsidP="003E2CA0">
      <w:pPr>
        <w:widowControl w:val="0"/>
        <w:autoSpaceDE w:val="0"/>
        <w:autoSpaceDN w:val="0"/>
        <w:adjustRightInd w:val="0"/>
        <w:jc w:val="both"/>
        <w:rPr>
          <w:rFonts w:ascii="Arial" w:hAnsi="Arial" w:cs="Arial"/>
          <w:b/>
          <w:bCs/>
          <w:sz w:val="22"/>
          <w:szCs w:val="22"/>
        </w:rPr>
      </w:pPr>
    </w:p>
    <w:p w:rsidR="003E2CA0" w:rsidRPr="00CD388E" w:rsidRDefault="003E2CA0" w:rsidP="003E2CA0">
      <w:pPr>
        <w:spacing w:line="280" w:lineRule="exact"/>
        <w:jc w:val="both"/>
        <w:rPr>
          <w:sz w:val="22"/>
          <w:szCs w:val="22"/>
        </w:rPr>
      </w:pPr>
      <w:r w:rsidRPr="00CD388E">
        <w:rPr>
          <w:rFonts w:ascii="Arial" w:hAnsi="Arial" w:cs="Arial"/>
          <w:bCs/>
          <w:sz w:val="22"/>
          <w:szCs w:val="22"/>
        </w:rPr>
        <w:t xml:space="preserve">   </w:t>
      </w:r>
      <w:r w:rsidRPr="00CD388E">
        <w:rPr>
          <w:sz w:val="22"/>
          <w:szCs w:val="22"/>
        </w:rPr>
        <w:t xml:space="preserve">Abbiamo bisogno di più Europa e abbiamo </w:t>
      </w:r>
      <w:proofErr w:type="gramStart"/>
      <w:r w:rsidRPr="00CD388E">
        <w:rPr>
          <w:sz w:val="22"/>
          <w:szCs w:val="22"/>
        </w:rPr>
        <w:t>bisogno</w:t>
      </w:r>
      <w:proofErr w:type="gramEnd"/>
      <w:r w:rsidRPr="00CD388E">
        <w:rPr>
          <w:sz w:val="22"/>
          <w:szCs w:val="22"/>
        </w:rPr>
        <w:t xml:space="preserve"> di coinvolgere di più la società civile. </w:t>
      </w:r>
      <w:proofErr w:type="gramStart"/>
      <w:r w:rsidRPr="00CD388E">
        <w:rPr>
          <w:sz w:val="22"/>
          <w:szCs w:val="22"/>
        </w:rPr>
        <w:t>Ad</w:t>
      </w:r>
      <w:proofErr w:type="gramEnd"/>
      <w:r w:rsidRPr="00CD388E">
        <w:rPr>
          <w:sz w:val="22"/>
          <w:szCs w:val="22"/>
        </w:rPr>
        <w:t xml:space="preserve"> oggi la Commissione, pur non avendo la responsabilità istituzionale, sollecita e invita gli stati membri a fare di più e a farlo in modo coordinato e quanto più possibile, condividendo calendari e obiettivi;  ma non ha il potere di imporre quanto deciso.</w:t>
      </w:r>
    </w:p>
    <w:p w:rsidR="003E2CA0" w:rsidRPr="00CD388E" w:rsidRDefault="003E2CA0" w:rsidP="003E2CA0">
      <w:pPr>
        <w:spacing w:line="280" w:lineRule="exact"/>
        <w:jc w:val="both"/>
        <w:rPr>
          <w:sz w:val="22"/>
          <w:szCs w:val="22"/>
        </w:rPr>
      </w:pPr>
      <w:r w:rsidRPr="00CD388E">
        <w:rPr>
          <w:sz w:val="22"/>
          <w:szCs w:val="22"/>
        </w:rPr>
        <w:t xml:space="preserve">   Bisogna che la società civile sia più </w:t>
      </w:r>
      <w:proofErr w:type="gramStart"/>
      <w:r w:rsidRPr="00CD388E">
        <w:rPr>
          <w:sz w:val="22"/>
          <w:szCs w:val="22"/>
        </w:rPr>
        <w:t>presente ed eserciti</w:t>
      </w:r>
      <w:proofErr w:type="gramEnd"/>
      <w:r w:rsidRPr="00CD388E">
        <w:rPr>
          <w:sz w:val="22"/>
          <w:szCs w:val="22"/>
        </w:rPr>
        <w:t xml:space="preserve"> la necessaria pressione sia politica sia sociale presso le proprie autorità nazionale.</w:t>
      </w:r>
    </w:p>
    <w:p w:rsidR="003E2CA0" w:rsidRPr="00CD388E" w:rsidRDefault="003E2CA0" w:rsidP="003E2CA0">
      <w:pPr>
        <w:spacing w:line="280" w:lineRule="exact"/>
        <w:jc w:val="both"/>
        <w:rPr>
          <w:sz w:val="22"/>
          <w:szCs w:val="22"/>
        </w:rPr>
      </w:pPr>
      <w:r w:rsidRPr="00CD388E">
        <w:rPr>
          <w:sz w:val="22"/>
          <w:szCs w:val="22"/>
        </w:rPr>
        <w:t>La società civile dovrà inoltre trovare un giusto equilibrio tra i bisogni di risorse finanziare e gli obiettivi da raggiungere per l’Europa.</w:t>
      </w:r>
    </w:p>
    <w:p w:rsidR="003E2CA0" w:rsidRDefault="003E2CA0" w:rsidP="003E2CA0">
      <w:pPr>
        <w:widowControl w:val="0"/>
        <w:autoSpaceDE w:val="0"/>
        <w:autoSpaceDN w:val="0"/>
        <w:adjustRightInd w:val="0"/>
        <w:rPr>
          <w:rFonts w:ascii="Arial" w:hAnsi="Arial" w:cs="Arial"/>
          <w:bCs/>
          <w:color w:val="343433"/>
        </w:rPr>
      </w:pPr>
    </w:p>
    <w:p w:rsidR="003E2CA0" w:rsidRPr="004631B9" w:rsidRDefault="003E2CA0" w:rsidP="003E2CA0">
      <w:pPr>
        <w:widowControl w:val="0"/>
        <w:autoSpaceDE w:val="0"/>
        <w:autoSpaceDN w:val="0"/>
        <w:adjustRightInd w:val="0"/>
        <w:jc w:val="both"/>
        <w:rPr>
          <w:rFonts w:ascii="Arial" w:hAnsi="Arial" w:cs="Arial"/>
          <w:b/>
          <w:bCs/>
          <w:color w:val="343433"/>
          <w:sz w:val="22"/>
          <w:szCs w:val="22"/>
        </w:rPr>
      </w:pPr>
      <w:r w:rsidRPr="004631B9">
        <w:rPr>
          <w:rFonts w:ascii="Arial" w:hAnsi="Arial" w:cs="Arial"/>
          <w:b/>
          <w:bCs/>
          <w:color w:val="343433"/>
          <w:sz w:val="22"/>
          <w:szCs w:val="22"/>
        </w:rPr>
        <w:t>Come possiamo superare questo?</w:t>
      </w:r>
    </w:p>
    <w:p w:rsidR="003E2CA0" w:rsidRDefault="003E2CA0" w:rsidP="003E2CA0">
      <w:pPr>
        <w:widowControl w:val="0"/>
        <w:autoSpaceDE w:val="0"/>
        <w:autoSpaceDN w:val="0"/>
        <w:adjustRightInd w:val="0"/>
        <w:jc w:val="both"/>
        <w:rPr>
          <w:rFonts w:ascii="Arial" w:hAnsi="Arial" w:cs="Arial"/>
          <w:bCs/>
          <w:color w:val="343433"/>
        </w:rPr>
      </w:pPr>
    </w:p>
    <w:p w:rsidR="003E2CA0" w:rsidRPr="00CD388E" w:rsidRDefault="003E2CA0" w:rsidP="003E2CA0">
      <w:pPr>
        <w:widowControl w:val="0"/>
        <w:autoSpaceDE w:val="0"/>
        <w:autoSpaceDN w:val="0"/>
        <w:adjustRightInd w:val="0"/>
        <w:jc w:val="both"/>
        <w:rPr>
          <w:sz w:val="22"/>
          <w:szCs w:val="22"/>
        </w:rPr>
      </w:pPr>
      <w:r w:rsidRPr="00CD388E">
        <w:rPr>
          <w:sz w:val="22"/>
          <w:szCs w:val="22"/>
        </w:rPr>
        <w:t xml:space="preserve">   E’ importante che:</w:t>
      </w:r>
    </w:p>
    <w:p w:rsidR="003E2CA0" w:rsidRPr="00CD388E" w:rsidRDefault="003E2CA0" w:rsidP="003E2CA0">
      <w:pPr>
        <w:pStyle w:val="Paragrafoelenco"/>
        <w:widowControl w:val="0"/>
        <w:numPr>
          <w:ilvl w:val="0"/>
          <w:numId w:val="19"/>
        </w:numPr>
        <w:autoSpaceDE w:val="0"/>
        <w:autoSpaceDN w:val="0"/>
        <w:adjustRightInd w:val="0"/>
        <w:jc w:val="both"/>
        <w:rPr>
          <w:sz w:val="22"/>
          <w:szCs w:val="22"/>
        </w:rPr>
      </w:pPr>
      <w:r w:rsidRPr="00CD388E">
        <w:rPr>
          <w:sz w:val="22"/>
          <w:szCs w:val="22"/>
        </w:rPr>
        <w:t xml:space="preserve">Uno dei grandi paesi assuma con determinazione la responsabilità delle politiche di Formazione Professionale </w:t>
      </w:r>
      <w:proofErr w:type="gramStart"/>
      <w:r w:rsidRPr="00CD388E">
        <w:rPr>
          <w:sz w:val="22"/>
          <w:szCs w:val="22"/>
        </w:rPr>
        <w:t>ed</w:t>
      </w:r>
      <w:proofErr w:type="gramEnd"/>
      <w:r w:rsidRPr="00CD388E">
        <w:rPr>
          <w:sz w:val="22"/>
          <w:szCs w:val="22"/>
        </w:rPr>
        <w:t xml:space="preserve"> Educazione europee;</w:t>
      </w:r>
    </w:p>
    <w:p w:rsidR="003E2CA0" w:rsidRPr="00CD388E" w:rsidRDefault="003E2CA0" w:rsidP="003E2CA0">
      <w:pPr>
        <w:pStyle w:val="Paragrafoelenco"/>
        <w:widowControl w:val="0"/>
        <w:numPr>
          <w:ilvl w:val="0"/>
          <w:numId w:val="19"/>
        </w:numPr>
        <w:autoSpaceDE w:val="0"/>
        <w:autoSpaceDN w:val="0"/>
        <w:adjustRightInd w:val="0"/>
        <w:jc w:val="both"/>
        <w:rPr>
          <w:sz w:val="22"/>
          <w:szCs w:val="22"/>
        </w:rPr>
      </w:pPr>
      <w:r w:rsidRPr="00CD388E">
        <w:rPr>
          <w:sz w:val="22"/>
          <w:szCs w:val="22"/>
        </w:rPr>
        <w:t>Si creino maggiori spazi e opportunità per gli operatori pubblici e privati;</w:t>
      </w:r>
    </w:p>
    <w:p w:rsidR="003E2CA0" w:rsidRPr="00CD388E" w:rsidRDefault="003E2CA0" w:rsidP="003E2CA0">
      <w:pPr>
        <w:pStyle w:val="Paragrafoelenco"/>
        <w:widowControl w:val="0"/>
        <w:numPr>
          <w:ilvl w:val="0"/>
          <w:numId w:val="19"/>
        </w:numPr>
        <w:autoSpaceDE w:val="0"/>
        <w:autoSpaceDN w:val="0"/>
        <w:adjustRightInd w:val="0"/>
        <w:jc w:val="both"/>
        <w:rPr>
          <w:sz w:val="22"/>
          <w:szCs w:val="22"/>
        </w:rPr>
      </w:pPr>
      <w:r w:rsidRPr="00CD388E">
        <w:rPr>
          <w:sz w:val="22"/>
          <w:szCs w:val="22"/>
        </w:rPr>
        <w:t xml:space="preserve">Ci si apra alle riflessioni tra parti sociali, società civile </w:t>
      </w:r>
      <w:proofErr w:type="gramStart"/>
      <w:r w:rsidRPr="00CD388E">
        <w:rPr>
          <w:sz w:val="22"/>
          <w:szCs w:val="22"/>
        </w:rPr>
        <w:t>ed</w:t>
      </w:r>
      <w:proofErr w:type="gramEnd"/>
      <w:r w:rsidRPr="00CD388E">
        <w:rPr>
          <w:sz w:val="22"/>
          <w:szCs w:val="22"/>
        </w:rPr>
        <w:t xml:space="preserve"> istituzioni in modo più strutturato e trasparente;</w:t>
      </w:r>
    </w:p>
    <w:p w:rsidR="003E2CA0" w:rsidRPr="00CD388E" w:rsidRDefault="003E2CA0" w:rsidP="003E2CA0">
      <w:pPr>
        <w:pStyle w:val="Paragrafoelenco"/>
        <w:widowControl w:val="0"/>
        <w:numPr>
          <w:ilvl w:val="0"/>
          <w:numId w:val="19"/>
        </w:numPr>
        <w:autoSpaceDE w:val="0"/>
        <w:autoSpaceDN w:val="0"/>
        <w:adjustRightInd w:val="0"/>
        <w:jc w:val="both"/>
        <w:rPr>
          <w:sz w:val="22"/>
          <w:szCs w:val="22"/>
        </w:rPr>
      </w:pPr>
      <w:r w:rsidRPr="00CD388E">
        <w:rPr>
          <w:sz w:val="22"/>
          <w:szCs w:val="22"/>
        </w:rPr>
        <w:t>Si costruisca una visione condivisa degli obiettivi politici da realizzare a livello nazionale affinché si possa sperare di realizzare un progetto europeo delle risorse umane!</w:t>
      </w:r>
    </w:p>
    <w:p w:rsidR="003E2CA0" w:rsidRPr="00CD388E" w:rsidRDefault="003E2CA0" w:rsidP="003E2CA0">
      <w:pPr>
        <w:widowControl w:val="0"/>
        <w:autoSpaceDE w:val="0"/>
        <w:autoSpaceDN w:val="0"/>
        <w:adjustRightInd w:val="0"/>
        <w:jc w:val="both"/>
        <w:rPr>
          <w:rFonts w:ascii="Arial" w:hAnsi="Arial" w:cs="Arial"/>
          <w:color w:val="343433"/>
          <w:sz w:val="22"/>
          <w:szCs w:val="22"/>
        </w:rPr>
      </w:pPr>
    </w:p>
    <w:p w:rsidR="003E2CA0" w:rsidRPr="00CD388E" w:rsidRDefault="003E2CA0" w:rsidP="003E2CA0">
      <w:pPr>
        <w:widowControl w:val="0"/>
        <w:autoSpaceDE w:val="0"/>
        <w:autoSpaceDN w:val="0"/>
        <w:adjustRightInd w:val="0"/>
        <w:jc w:val="both"/>
        <w:rPr>
          <w:rFonts w:ascii="Arial" w:hAnsi="Arial" w:cs="Arial"/>
          <w:b/>
          <w:color w:val="343433"/>
          <w:sz w:val="22"/>
          <w:szCs w:val="22"/>
        </w:rPr>
      </w:pPr>
    </w:p>
    <w:p w:rsidR="003E2CA0" w:rsidRPr="004631B9" w:rsidRDefault="003E2CA0" w:rsidP="003E2CA0">
      <w:pPr>
        <w:widowControl w:val="0"/>
        <w:autoSpaceDE w:val="0"/>
        <w:autoSpaceDN w:val="0"/>
        <w:adjustRightInd w:val="0"/>
        <w:jc w:val="both"/>
        <w:rPr>
          <w:rFonts w:ascii="Arial" w:hAnsi="Arial" w:cs="Arial"/>
          <w:b/>
          <w:color w:val="343433"/>
          <w:sz w:val="22"/>
          <w:szCs w:val="22"/>
        </w:rPr>
      </w:pPr>
      <w:r w:rsidRPr="004631B9">
        <w:rPr>
          <w:rFonts w:ascii="Arial" w:hAnsi="Arial" w:cs="Arial"/>
          <w:b/>
          <w:color w:val="343433"/>
          <w:sz w:val="22"/>
          <w:szCs w:val="22"/>
        </w:rPr>
        <w:t xml:space="preserve">E su cosa? </w:t>
      </w:r>
      <w:proofErr w:type="gramStart"/>
      <w:r w:rsidRPr="004631B9">
        <w:rPr>
          <w:rFonts w:ascii="Arial" w:hAnsi="Arial" w:cs="Arial"/>
          <w:b/>
          <w:color w:val="343433"/>
          <w:sz w:val="22"/>
          <w:szCs w:val="22"/>
        </w:rPr>
        <w:t>s</w:t>
      </w:r>
      <w:proofErr w:type="gramEnd"/>
      <w:r w:rsidRPr="004631B9">
        <w:rPr>
          <w:rFonts w:ascii="Arial" w:hAnsi="Arial" w:cs="Arial"/>
          <w:b/>
          <w:color w:val="343433"/>
          <w:sz w:val="22"/>
          <w:szCs w:val="22"/>
        </w:rPr>
        <w:t>u quali argomenti?</w:t>
      </w:r>
    </w:p>
    <w:p w:rsidR="003E2CA0" w:rsidRPr="00CD388E" w:rsidRDefault="003E2CA0" w:rsidP="003E2CA0">
      <w:pPr>
        <w:widowControl w:val="0"/>
        <w:autoSpaceDE w:val="0"/>
        <w:autoSpaceDN w:val="0"/>
        <w:adjustRightInd w:val="0"/>
        <w:jc w:val="both"/>
        <w:rPr>
          <w:rFonts w:ascii="Arial" w:hAnsi="Arial" w:cs="Arial"/>
          <w:color w:val="343433"/>
          <w:sz w:val="22"/>
          <w:szCs w:val="22"/>
        </w:rPr>
      </w:pPr>
    </w:p>
    <w:p w:rsidR="003E2CA0" w:rsidRPr="00CD388E" w:rsidRDefault="003E2CA0" w:rsidP="003E2CA0">
      <w:pPr>
        <w:widowControl w:val="0"/>
        <w:autoSpaceDE w:val="0"/>
        <w:autoSpaceDN w:val="0"/>
        <w:adjustRightInd w:val="0"/>
        <w:jc w:val="both"/>
        <w:rPr>
          <w:sz w:val="22"/>
          <w:szCs w:val="22"/>
        </w:rPr>
      </w:pPr>
      <w:r w:rsidRPr="00CD388E">
        <w:rPr>
          <w:sz w:val="22"/>
          <w:szCs w:val="22"/>
        </w:rPr>
        <w:t xml:space="preserve">   A mio parere bisogna:</w:t>
      </w:r>
    </w:p>
    <w:p w:rsidR="003E2CA0" w:rsidRPr="00CD388E" w:rsidRDefault="003E2CA0" w:rsidP="003E2CA0">
      <w:pPr>
        <w:widowControl w:val="0"/>
        <w:autoSpaceDE w:val="0"/>
        <w:autoSpaceDN w:val="0"/>
        <w:adjustRightInd w:val="0"/>
        <w:jc w:val="both"/>
        <w:rPr>
          <w:sz w:val="22"/>
          <w:szCs w:val="22"/>
        </w:rPr>
      </w:pPr>
    </w:p>
    <w:p w:rsidR="003E2CA0" w:rsidRPr="00CD388E" w:rsidRDefault="003E2CA0" w:rsidP="003E2CA0">
      <w:pPr>
        <w:pStyle w:val="Paragrafoelenco"/>
        <w:widowControl w:val="0"/>
        <w:numPr>
          <w:ilvl w:val="0"/>
          <w:numId w:val="21"/>
        </w:numPr>
        <w:autoSpaceDE w:val="0"/>
        <w:autoSpaceDN w:val="0"/>
        <w:adjustRightInd w:val="0"/>
        <w:jc w:val="both"/>
        <w:rPr>
          <w:sz w:val="22"/>
          <w:szCs w:val="22"/>
        </w:rPr>
      </w:pPr>
      <w:proofErr w:type="gramStart"/>
      <w:r w:rsidRPr="00CD388E">
        <w:rPr>
          <w:sz w:val="22"/>
          <w:szCs w:val="22"/>
        </w:rPr>
        <w:t>Proporre politiche per la Formazione e l’Educazione riferendosi ai risultati di studi e analisi;</w:t>
      </w:r>
      <w:proofErr w:type="gramEnd"/>
    </w:p>
    <w:p w:rsidR="003E2CA0" w:rsidRPr="00CD388E" w:rsidRDefault="003E2CA0" w:rsidP="003E2CA0">
      <w:pPr>
        <w:pStyle w:val="Paragrafoelenco"/>
        <w:widowControl w:val="0"/>
        <w:numPr>
          <w:ilvl w:val="0"/>
          <w:numId w:val="21"/>
        </w:numPr>
        <w:autoSpaceDE w:val="0"/>
        <w:autoSpaceDN w:val="0"/>
        <w:adjustRightInd w:val="0"/>
        <w:jc w:val="both"/>
        <w:rPr>
          <w:sz w:val="22"/>
          <w:szCs w:val="22"/>
        </w:rPr>
      </w:pPr>
      <w:proofErr w:type="gramStart"/>
      <w:r w:rsidRPr="00CD388E">
        <w:rPr>
          <w:sz w:val="22"/>
          <w:szCs w:val="22"/>
        </w:rPr>
        <w:t>Evitare di rispondere in modo ideologico alle necessità del mercato e dei cittadini;</w:t>
      </w:r>
      <w:proofErr w:type="gramEnd"/>
    </w:p>
    <w:p w:rsidR="003E2CA0" w:rsidRPr="00CD388E" w:rsidRDefault="003E2CA0" w:rsidP="003E2CA0">
      <w:pPr>
        <w:pStyle w:val="Paragrafoelenco"/>
        <w:widowControl w:val="0"/>
        <w:numPr>
          <w:ilvl w:val="0"/>
          <w:numId w:val="21"/>
        </w:numPr>
        <w:autoSpaceDE w:val="0"/>
        <w:autoSpaceDN w:val="0"/>
        <w:adjustRightInd w:val="0"/>
        <w:jc w:val="both"/>
        <w:rPr>
          <w:sz w:val="22"/>
          <w:szCs w:val="22"/>
        </w:rPr>
      </w:pPr>
      <w:r w:rsidRPr="00CD388E">
        <w:rPr>
          <w:sz w:val="22"/>
          <w:szCs w:val="22"/>
        </w:rPr>
        <w:t xml:space="preserve">Ripensare i luoghi e le </w:t>
      </w:r>
      <w:proofErr w:type="gramStart"/>
      <w:r w:rsidRPr="00CD388E">
        <w:rPr>
          <w:sz w:val="22"/>
          <w:szCs w:val="22"/>
        </w:rPr>
        <w:t>modalità</w:t>
      </w:r>
      <w:proofErr w:type="gramEnd"/>
      <w:r w:rsidRPr="00CD388E">
        <w:rPr>
          <w:sz w:val="22"/>
          <w:szCs w:val="22"/>
        </w:rPr>
        <w:t xml:space="preserve"> di accesso alla Formazione;</w:t>
      </w:r>
    </w:p>
    <w:p w:rsidR="003E2CA0" w:rsidRPr="00CD388E" w:rsidRDefault="003E2CA0" w:rsidP="003E2CA0">
      <w:pPr>
        <w:pStyle w:val="Paragrafoelenco"/>
        <w:widowControl w:val="0"/>
        <w:numPr>
          <w:ilvl w:val="0"/>
          <w:numId w:val="21"/>
        </w:numPr>
        <w:autoSpaceDE w:val="0"/>
        <w:autoSpaceDN w:val="0"/>
        <w:adjustRightInd w:val="0"/>
        <w:jc w:val="both"/>
        <w:rPr>
          <w:sz w:val="22"/>
          <w:szCs w:val="22"/>
        </w:rPr>
      </w:pPr>
      <w:r w:rsidRPr="00CD388E">
        <w:rPr>
          <w:sz w:val="22"/>
          <w:szCs w:val="22"/>
        </w:rPr>
        <w:t>Riqualificare gli addetti ai lavori;</w:t>
      </w:r>
    </w:p>
    <w:p w:rsidR="003E2CA0" w:rsidRPr="00CD388E" w:rsidRDefault="003E2CA0" w:rsidP="003E2CA0">
      <w:pPr>
        <w:pStyle w:val="Paragrafoelenco"/>
        <w:widowControl w:val="0"/>
        <w:numPr>
          <w:ilvl w:val="0"/>
          <w:numId w:val="21"/>
        </w:numPr>
        <w:autoSpaceDE w:val="0"/>
        <w:autoSpaceDN w:val="0"/>
        <w:adjustRightInd w:val="0"/>
        <w:jc w:val="both"/>
        <w:rPr>
          <w:sz w:val="22"/>
          <w:szCs w:val="22"/>
        </w:rPr>
      </w:pPr>
      <w:r w:rsidRPr="00CD388E">
        <w:rPr>
          <w:sz w:val="22"/>
          <w:szCs w:val="22"/>
        </w:rPr>
        <w:t>Riscoprire la passione per l’insegnamento … europeo;</w:t>
      </w:r>
    </w:p>
    <w:p w:rsidR="003E2CA0" w:rsidRPr="00CD388E" w:rsidRDefault="003E2CA0" w:rsidP="003E2CA0">
      <w:pPr>
        <w:pStyle w:val="Paragrafoelenco"/>
        <w:widowControl w:val="0"/>
        <w:numPr>
          <w:ilvl w:val="0"/>
          <w:numId w:val="21"/>
        </w:numPr>
        <w:autoSpaceDE w:val="0"/>
        <w:autoSpaceDN w:val="0"/>
        <w:adjustRightInd w:val="0"/>
        <w:jc w:val="both"/>
        <w:rPr>
          <w:sz w:val="22"/>
          <w:szCs w:val="22"/>
        </w:rPr>
      </w:pPr>
      <w:r w:rsidRPr="00CD388E">
        <w:rPr>
          <w:sz w:val="22"/>
          <w:szCs w:val="22"/>
        </w:rPr>
        <w:t xml:space="preserve">Evidenziare in tutte le </w:t>
      </w:r>
      <w:proofErr w:type="gramStart"/>
      <w:r w:rsidRPr="00CD388E">
        <w:rPr>
          <w:sz w:val="22"/>
          <w:szCs w:val="22"/>
        </w:rPr>
        <w:t>politiche l’</w:t>
      </w:r>
      <w:proofErr w:type="gramEnd"/>
      <w:r w:rsidRPr="00CD388E">
        <w:rPr>
          <w:sz w:val="22"/>
          <w:szCs w:val="22"/>
        </w:rPr>
        <w:t>importanza delle risorse umane creando tra i vari ambiti d’intervento un ecosistema che ha come fulcro le risorse umane.</w:t>
      </w: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r>
        <w:rPr>
          <w:rFonts w:ascii="Arial" w:hAnsi="Arial" w:cs="Arial"/>
          <w:b/>
          <w:sz w:val="22"/>
          <w:szCs w:val="20"/>
        </w:rPr>
        <w:t xml:space="preserve">Per </w:t>
      </w:r>
      <w:proofErr w:type="gramStart"/>
      <w:r>
        <w:rPr>
          <w:rFonts w:ascii="Arial" w:hAnsi="Arial" w:cs="Arial"/>
          <w:b/>
          <w:sz w:val="22"/>
          <w:szCs w:val="20"/>
        </w:rPr>
        <w:t>ulteriori</w:t>
      </w:r>
      <w:proofErr w:type="gramEnd"/>
      <w:r>
        <w:rPr>
          <w:rFonts w:ascii="Arial" w:hAnsi="Arial" w:cs="Arial"/>
          <w:b/>
          <w:sz w:val="22"/>
          <w:szCs w:val="20"/>
        </w:rPr>
        <w:t xml:space="preserve"> informazioni sui finanziamenti alla formazione:</w:t>
      </w:r>
    </w:p>
    <w:p w:rsidR="003E2CA0" w:rsidRDefault="003E2CA0" w:rsidP="003E2CA0">
      <w:pPr>
        <w:tabs>
          <w:tab w:val="left" w:pos="1380"/>
        </w:tabs>
        <w:spacing w:line="240" w:lineRule="exact"/>
        <w:jc w:val="both"/>
        <w:rPr>
          <w:rFonts w:ascii="Arial" w:hAnsi="Arial" w:cs="Arial"/>
          <w:b/>
          <w:sz w:val="22"/>
          <w:szCs w:val="20"/>
        </w:rPr>
      </w:pPr>
    </w:p>
    <w:p w:rsidR="003E2CA0" w:rsidRDefault="003E2CA0" w:rsidP="003E2CA0">
      <w:pPr>
        <w:tabs>
          <w:tab w:val="left" w:pos="1380"/>
        </w:tabs>
        <w:spacing w:line="240" w:lineRule="exact"/>
        <w:jc w:val="both"/>
        <w:rPr>
          <w:rFonts w:ascii="Arial" w:hAnsi="Arial" w:cs="Arial"/>
          <w:b/>
          <w:sz w:val="22"/>
          <w:szCs w:val="20"/>
        </w:rPr>
      </w:pPr>
      <w:hyperlink r:id="rId11" w:history="1">
        <w:r w:rsidRPr="00994DF6">
          <w:rPr>
            <w:rStyle w:val="Collegamentoipertestuale"/>
            <w:rFonts w:ascii="Arial" w:hAnsi="Arial" w:cs="Arial"/>
            <w:b/>
            <w:sz w:val="22"/>
            <w:szCs w:val="20"/>
          </w:rPr>
          <w:t>www.formafin.it</w:t>
        </w:r>
      </w:hyperlink>
    </w:p>
    <w:p w:rsidR="003E2CA0" w:rsidRDefault="003E2CA0" w:rsidP="003E2CA0">
      <w:pPr>
        <w:tabs>
          <w:tab w:val="left" w:pos="1380"/>
        </w:tabs>
        <w:spacing w:line="260" w:lineRule="exact"/>
        <w:jc w:val="both"/>
        <w:rPr>
          <w:sz w:val="22"/>
          <w:szCs w:val="20"/>
        </w:rPr>
      </w:pPr>
      <w:r>
        <w:rPr>
          <w:sz w:val="22"/>
          <w:szCs w:val="20"/>
        </w:rPr>
        <w:t xml:space="preserve">   </w:t>
      </w:r>
      <w:r w:rsidRPr="00BC1CFA">
        <w:rPr>
          <w:sz w:val="22"/>
          <w:szCs w:val="20"/>
        </w:rPr>
        <w:t>E’ il portale della formazione finanziata in Italia.</w:t>
      </w:r>
    </w:p>
    <w:p w:rsidR="003E2CA0" w:rsidRDefault="003E2CA0" w:rsidP="003E2CA0">
      <w:pPr>
        <w:tabs>
          <w:tab w:val="left" w:pos="1380"/>
        </w:tabs>
        <w:spacing w:line="260" w:lineRule="exact"/>
        <w:jc w:val="both"/>
        <w:rPr>
          <w:sz w:val="22"/>
          <w:szCs w:val="20"/>
        </w:rPr>
      </w:pPr>
    </w:p>
    <w:p w:rsidR="003E2CA0" w:rsidRDefault="003E2CA0" w:rsidP="003E2CA0">
      <w:pPr>
        <w:tabs>
          <w:tab w:val="left" w:pos="1380"/>
        </w:tabs>
        <w:spacing w:line="260" w:lineRule="exact"/>
        <w:jc w:val="both"/>
        <w:rPr>
          <w:sz w:val="22"/>
          <w:szCs w:val="20"/>
        </w:rPr>
      </w:pPr>
      <w:r>
        <w:rPr>
          <w:sz w:val="22"/>
          <w:szCs w:val="20"/>
        </w:rPr>
        <w:t xml:space="preserve">   Questo portale è sostenuto da </w:t>
      </w:r>
      <w:proofErr w:type="spellStart"/>
      <w:r>
        <w:rPr>
          <w:sz w:val="22"/>
          <w:szCs w:val="20"/>
        </w:rPr>
        <w:t>Creattività</w:t>
      </w:r>
      <w:proofErr w:type="spellEnd"/>
      <w:r>
        <w:rPr>
          <w:sz w:val="22"/>
          <w:szCs w:val="20"/>
        </w:rPr>
        <w:t xml:space="preserve"> </w:t>
      </w:r>
      <w:proofErr w:type="spellStart"/>
      <w:r>
        <w:rPr>
          <w:sz w:val="22"/>
          <w:szCs w:val="20"/>
        </w:rPr>
        <w:t>Srl</w:t>
      </w:r>
      <w:proofErr w:type="spellEnd"/>
      <w:r>
        <w:rPr>
          <w:sz w:val="22"/>
          <w:szCs w:val="20"/>
        </w:rPr>
        <w:t xml:space="preserve">, società di consulenza per la formazione e lo sviluppo delle risorse umane. Per offrire un servizio completo, </w:t>
      </w:r>
      <w:proofErr w:type="spellStart"/>
      <w:r>
        <w:rPr>
          <w:sz w:val="22"/>
          <w:szCs w:val="20"/>
        </w:rPr>
        <w:t>Creattività</w:t>
      </w:r>
      <w:proofErr w:type="spellEnd"/>
      <w:r>
        <w:rPr>
          <w:sz w:val="22"/>
          <w:szCs w:val="20"/>
        </w:rPr>
        <w:t xml:space="preserve"> ha aperto al suo interno la divisione specializzata nel mondo dei finanziamenti per la formazione e dei piani formativi aziendali.</w:t>
      </w:r>
    </w:p>
    <w:p w:rsidR="003E2CA0" w:rsidRPr="00C54C4C" w:rsidRDefault="003E2CA0" w:rsidP="003E2CA0">
      <w:pPr>
        <w:tabs>
          <w:tab w:val="left" w:pos="1380"/>
        </w:tabs>
        <w:spacing w:line="260" w:lineRule="exact"/>
        <w:jc w:val="both"/>
        <w:rPr>
          <w:sz w:val="22"/>
          <w:szCs w:val="20"/>
        </w:rPr>
      </w:pPr>
      <w:r>
        <w:rPr>
          <w:sz w:val="22"/>
          <w:szCs w:val="20"/>
        </w:rPr>
        <w:t xml:space="preserve">   </w:t>
      </w:r>
      <w:proofErr w:type="gramStart"/>
      <w:r>
        <w:rPr>
          <w:sz w:val="22"/>
          <w:szCs w:val="20"/>
        </w:rPr>
        <w:t xml:space="preserve">Vi </w:t>
      </w:r>
      <w:proofErr w:type="gramEnd"/>
      <w:r>
        <w:rPr>
          <w:sz w:val="22"/>
          <w:szCs w:val="20"/>
        </w:rPr>
        <w:t xml:space="preserve">invitiamo a visitare il portale e a contattarci per maggiori informazioni. </w:t>
      </w:r>
    </w:p>
    <w:p w:rsidR="003E2CA0" w:rsidRDefault="003E2CA0" w:rsidP="003E2CA0"/>
    <w:p w:rsidR="007E2BA9" w:rsidRDefault="007E2BA9"/>
    <w:sectPr w:rsidR="007E2BA9" w:rsidSect="007E2BA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2CA0" w:rsidRDefault="003E2CA0" w:rsidP="003E2CA0">
      <w:r>
        <w:separator/>
      </w:r>
    </w:p>
  </w:endnote>
  <w:endnote w:type="continuationSeparator" w:id="0">
    <w:p w:rsidR="003E2CA0" w:rsidRDefault="003E2CA0" w:rsidP="003E2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Microsoft YaHei">
    <w:charset w:val="86"/>
    <w:family w:val="swiss"/>
    <w:pitch w:val="variable"/>
    <w:sig w:usb0="80000287" w:usb1="28CF3C52" w:usb2="00000016" w:usb3="00000000" w:csb0="0004001F" w:csb1="00000000"/>
  </w:font>
  <w:font w:name="Helvetica">
    <w:panose1 w:val="00000000000000000000"/>
    <w:charset w:val="00"/>
    <w:family w:val="auto"/>
    <w:pitch w:val="variable"/>
    <w:sig w:usb0="E00002FF" w:usb1="5000785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2CA0" w:rsidRDefault="003E2CA0" w:rsidP="003E2CA0">
      <w:r>
        <w:separator/>
      </w:r>
    </w:p>
  </w:footnote>
  <w:footnote w:type="continuationSeparator" w:id="0">
    <w:p w:rsidR="003E2CA0" w:rsidRDefault="003E2CA0" w:rsidP="003E2CA0">
      <w:r>
        <w:continuationSeparator/>
      </w:r>
    </w:p>
  </w:footnote>
  <w:footnote w:id="1">
    <w:p w:rsidR="003E2CA0" w:rsidRPr="00082C27" w:rsidRDefault="003E2CA0" w:rsidP="003E2CA0">
      <w:pPr>
        <w:pStyle w:val="Testonotaapidipagina"/>
        <w:rPr>
          <w:lang w:val="en-GB"/>
        </w:rPr>
      </w:pPr>
      <w:r>
        <w:rPr>
          <w:rStyle w:val="Rimandonotaapidipagina"/>
        </w:rPr>
        <w:footnoteRef/>
      </w:r>
      <w:r w:rsidRPr="00082C27">
        <w:rPr>
          <w:lang w:val="en-GB"/>
        </w:rPr>
        <w:t xml:space="preserve"> European Commission, </w:t>
      </w:r>
      <w:r w:rsidRPr="00082C27">
        <w:rPr>
          <w:i/>
          <w:lang w:val="en-GB"/>
        </w:rPr>
        <w:t>Project Cycle Management Guidelines</w:t>
      </w:r>
      <w:r w:rsidRPr="00082C27">
        <w:rPr>
          <w:lang w:val="en-GB"/>
        </w:rPr>
        <w:t>, 2004</w:t>
      </w:r>
    </w:p>
  </w:footnote>
  <w:footnote w:id="2">
    <w:p w:rsidR="003E2CA0" w:rsidRDefault="003E2CA0" w:rsidP="003E2CA0">
      <w:pPr>
        <w:pStyle w:val="Testonotaapidipagina"/>
      </w:pPr>
      <w:r>
        <w:rPr>
          <w:rStyle w:val="Rimandonotaapidipagina"/>
        </w:rPr>
        <w:footnoteRef/>
      </w:r>
      <w:r>
        <w:t xml:space="preserve"> </w:t>
      </w:r>
      <w:r w:rsidRPr="00104D3D">
        <w:t xml:space="preserve">ISFOL, </w:t>
      </w:r>
      <w:r>
        <w:rPr>
          <w:i/>
        </w:rPr>
        <w:t>Rapporto 2012</w:t>
      </w:r>
      <w:proofErr w:type="gramStart"/>
      <w:r>
        <w:rPr>
          <w:i/>
        </w:rPr>
        <w:t xml:space="preserve"> </w:t>
      </w:r>
      <w:r w:rsidRPr="00104D3D">
        <w:rPr>
          <w:i/>
        </w:rPr>
        <w:t xml:space="preserve"> </w:t>
      </w:r>
      <w:proofErr w:type="gramEnd"/>
      <w:r w:rsidRPr="00104D3D">
        <w:rPr>
          <w:i/>
        </w:rPr>
        <w:t>sulla formazione continua</w:t>
      </w:r>
      <w:r w:rsidRPr="00994554">
        <w:rPr>
          <w:sz w:val="18"/>
          <w:szCs w:val="18"/>
        </w:rPr>
        <w:t xml:space="preserve">. </w:t>
      </w:r>
      <w:proofErr w:type="gramStart"/>
      <w:r>
        <w:rPr>
          <w:sz w:val="18"/>
          <w:szCs w:val="18"/>
        </w:rPr>
        <w:t xml:space="preserve">Scheda di analisi sul rapporto </w:t>
      </w:r>
      <w:proofErr w:type="spellStart"/>
      <w:r>
        <w:rPr>
          <w:sz w:val="18"/>
          <w:szCs w:val="18"/>
        </w:rPr>
        <w:t>Isfol</w:t>
      </w:r>
      <w:proofErr w:type="spellEnd"/>
      <w:r>
        <w:rPr>
          <w:sz w:val="18"/>
          <w:szCs w:val="18"/>
        </w:rPr>
        <w:t xml:space="preserve"> sulla formazione continua </w:t>
      </w:r>
      <w:r w:rsidRPr="00994554">
        <w:rPr>
          <w:color w:val="141414"/>
          <w:sz w:val="18"/>
          <w:szCs w:val="18"/>
        </w:rPr>
        <w:t xml:space="preserve">di Fabrizio </w:t>
      </w:r>
      <w:proofErr w:type="spellStart"/>
      <w:r w:rsidRPr="00994554">
        <w:rPr>
          <w:color w:val="141414"/>
          <w:sz w:val="18"/>
          <w:szCs w:val="18"/>
        </w:rPr>
        <w:t>Dacrema</w:t>
      </w:r>
      <w:proofErr w:type="spellEnd"/>
      <w:r w:rsidRPr="00994554">
        <w:rPr>
          <w:color w:val="141414"/>
          <w:sz w:val="18"/>
          <w:szCs w:val="18"/>
        </w:rPr>
        <w:t xml:space="preserve"> e Patrizia Dandolo</w:t>
      </w:r>
      <w:r>
        <w:rPr>
          <w:color w:val="141414"/>
          <w:sz w:val="18"/>
          <w:szCs w:val="18"/>
        </w:rPr>
        <w:t>.</w:t>
      </w:r>
      <w:proofErr w:type="gramEnd"/>
    </w:p>
  </w:footnote>
  <w:footnote w:id="3">
    <w:p w:rsidR="003E2CA0" w:rsidRDefault="003E2CA0" w:rsidP="003E2CA0">
      <w:pPr>
        <w:pStyle w:val="Testonotaapidipagina"/>
      </w:pPr>
      <w:r>
        <w:rPr>
          <w:rStyle w:val="Rimandonotaapidipagina"/>
        </w:rPr>
        <w:footnoteRef/>
      </w:r>
      <w:r>
        <w:t xml:space="preserve"> L'intero documento può essere consultato sul sito </w:t>
      </w:r>
      <w:hyperlink r:id="rId1" w:history="1">
        <w:r>
          <w:rPr>
            <w:rStyle w:val="Collegamentoipertestuale"/>
            <w:rFonts w:eastAsia="Microsoft YaHei"/>
          </w:rPr>
          <w:t>www.coesioneterritoriale.gov.it</w:t>
        </w:r>
      </w:hyperlink>
      <w:r>
        <w:t xml:space="preserve">; inoltre si ricorda che per l'elaborazione del documento è stato preso in considerazione il Position </w:t>
      </w:r>
      <w:proofErr w:type="spellStart"/>
      <w:r>
        <w:t>Paper</w:t>
      </w:r>
      <w:proofErr w:type="spellEnd"/>
      <w:r>
        <w:t xml:space="preserve"> della Commissione europea del novembre 2012. </w:t>
      </w:r>
    </w:p>
  </w:footnote>
  <w:footnote w:id="4">
    <w:p w:rsidR="003E2CA0" w:rsidRDefault="003E2CA0" w:rsidP="003E2CA0">
      <w:pPr>
        <w:pStyle w:val="Testonotaapidipagina"/>
      </w:pPr>
      <w:r>
        <w:rPr>
          <w:rStyle w:val="Rimandonotaapidipagina"/>
        </w:rPr>
        <w:footnoteRef/>
      </w:r>
      <w:r>
        <w:t xml:space="preserve"> Alcuni principi di riferimento si trovano nel "Codice di condotta europea di partenariato".</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2812"/>
    <w:multiLevelType w:val="hybridMultilevel"/>
    <w:tmpl w:val="BCAC9D12"/>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0C2D3DF1"/>
    <w:multiLevelType w:val="hybridMultilevel"/>
    <w:tmpl w:val="2C3410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71A7A0E"/>
    <w:multiLevelType w:val="hybridMultilevel"/>
    <w:tmpl w:val="891687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7F24510"/>
    <w:multiLevelType w:val="hybridMultilevel"/>
    <w:tmpl w:val="92CAF3B2"/>
    <w:lvl w:ilvl="0" w:tplc="0410000F">
      <w:start w:val="1"/>
      <w:numFmt w:val="decimal"/>
      <w:lvlText w:val="%1."/>
      <w:lvlJc w:val="left"/>
      <w:pPr>
        <w:ind w:left="1004" w:hanging="360"/>
      </w:pPr>
      <w:rPr>
        <w:rFont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
    <w:nsid w:val="21253626"/>
    <w:multiLevelType w:val="hybridMultilevel"/>
    <w:tmpl w:val="FD1CA072"/>
    <w:lvl w:ilvl="0" w:tplc="080C0001">
      <w:start w:val="1"/>
      <w:numFmt w:val="bullet"/>
      <w:lvlText w:val=""/>
      <w:lvlJc w:val="left"/>
      <w:pPr>
        <w:ind w:left="792" w:hanging="360"/>
      </w:pPr>
      <w:rPr>
        <w:rFonts w:ascii="Symbol" w:hAnsi="Symbol" w:hint="default"/>
      </w:rPr>
    </w:lvl>
    <w:lvl w:ilvl="1" w:tplc="080C0003" w:tentative="1">
      <w:start w:val="1"/>
      <w:numFmt w:val="bullet"/>
      <w:lvlText w:val="o"/>
      <w:lvlJc w:val="left"/>
      <w:pPr>
        <w:ind w:left="1512" w:hanging="360"/>
      </w:pPr>
      <w:rPr>
        <w:rFonts w:ascii="Courier New" w:hAnsi="Courier New" w:cs="Courier New" w:hint="default"/>
      </w:rPr>
    </w:lvl>
    <w:lvl w:ilvl="2" w:tplc="080C0005" w:tentative="1">
      <w:start w:val="1"/>
      <w:numFmt w:val="bullet"/>
      <w:lvlText w:val=""/>
      <w:lvlJc w:val="left"/>
      <w:pPr>
        <w:ind w:left="2232" w:hanging="360"/>
      </w:pPr>
      <w:rPr>
        <w:rFonts w:ascii="Wingdings" w:hAnsi="Wingdings" w:hint="default"/>
      </w:rPr>
    </w:lvl>
    <w:lvl w:ilvl="3" w:tplc="080C0001" w:tentative="1">
      <w:start w:val="1"/>
      <w:numFmt w:val="bullet"/>
      <w:lvlText w:val=""/>
      <w:lvlJc w:val="left"/>
      <w:pPr>
        <w:ind w:left="2952" w:hanging="360"/>
      </w:pPr>
      <w:rPr>
        <w:rFonts w:ascii="Symbol" w:hAnsi="Symbol" w:hint="default"/>
      </w:rPr>
    </w:lvl>
    <w:lvl w:ilvl="4" w:tplc="080C0003" w:tentative="1">
      <w:start w:val="1"/>
      <w:numFmt w:val="bullet"/>
      <w:lvlText w:val="o"/>
      <w:lvlJc w:val="left"/>
      <w:pPr>
        <w:ind w:left="3672" w:hanging="360"/>
      </w:pPr>
      <w:rPr>
        <w:rFonts w:ascii="Courier New" w:hAnsi="Courier New" w:cs="Courier New" w:hint="default"/>
      </w:rPr>
    </w:lvl>
    <w:lvl w:ilvl="5" w:tplc="080C0005" w:tentative="1">
      <w:start w:val="1"/>
      <w:numFmt w:val="bullet"/>
      <w:lvlText w:val=""/>
      <w:lvlJc w:val="left"/>
      <w:pPr>
        <w:ind w:left="4392" w:hanging="360"/>
      </w:pPr>
      <w:rPr>
        <w:rFonts w:ascii="Wingdings" w:hAnsi="Wingdings" w:hint="default"/>
      </w:rPr>
    </w:lvl>
    <w:lvl w:ilvl="6" w:tplc="080C0001" w:tentative="1">
      <w:start w:val="1"/>
      <w:numFmt w:val="bullet"/>
      <w:lvlText w:val=""/>
      <w:lvlJc w:val="left"/>
      <w:pPr>
        <w:ind w:left="5112" w:hanging="360"/>
      </w:pPr>
      <w:rPr>
        <w:rFonts w:ascii="Symbol" w:hAnsi="Symbol" w:hint="default"/>
      </w:rPr>
    </w:lvl>
    <w:lvl w:ilvl="7" w:tplc="080C0003" w:tentative="1">
      <w:start w:val="1"/>
      <w:numFmt w:val="bullet"/>
      <w:lvlText w:val="o"/>
      <w:lvlJc w:val="left"/>
      <w:pPr>
        <w:ind w:left="5832" w:hanging="360"/>
      </w:pPr>
      <w:rPr>
        <w:rFonts w:ascii="Courier New" w:hAnsi="Courier New" w:cs="Courier New" w:hint="default"/>
      </w:rPr>
    </w:lvl>
    <w:lvl w:ilvl="8" w:tplc="080C0005" w:tentative="1">
      <w:start w:val="1"/>
      <w:numFmt w:val="bullet"/>
      <w:lvlText w:val=""/>
      <w:lvlJc w:val="left"/>
      <w:pPr>
        <w:ind w:left="6552" w:hanging="360"/>
      </w:pPr>
      <w:rPr>
        <w:rFonts w:ascii="Wingdings" w:hAnsi="Wingdings" w:hint="default"/>
      </w:rPr>
    </w:lvl>
  </w:abstractNum>
  <w:abstractNum w:abstractNumId="5">
    <w:nsid w:val="225C56D4"/>
    <w:multiLevelType w:val="hybridMultilevel"/>
    <w:tmpl w:val="AAE48F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74E03A7"/>
    <w:multiLevelType w:val="hybridMultilevel"/>
    <w:tmpl w:val="BD8E8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77D1012"/>
    <w:multiLevelType w:val="hybridMultilevel"/>
    <w:tmpl w:val="8ADC877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299B6051"/>
    <w:multiLevelType w:val="hybridMultilevel"/>
    <w:tmpl w:val="8256C11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2203B04"/>
    <w:multiLevelType w:val="hybridMultilevel"/>
    <w:tmpl w:val="735284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77F38C5"/>
    <w:multiLevelType w:val="hybridMultilevel"/>
    <w:tmpl w:val="47F059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38A265E7"/>
    <w:multiLevelType w:val="hybridMultilevel"/>
    <w:tmpl w:val="DCAA2560"/>
    <w:lvl w:ilvl="0" w:tplc="080C0001">
      <w:start w:val="1"/>
      <w:numFmt w:val="bullet"/>
      <w:lvlText w:val=""/>
      <w:lvlJc w:val="left"/>
      <w:pPr>
        <w:ind w:left="792" w:hanging="360"/>
      </w:pPr>
      <w:rPr>
        <w:rFonts w:ascii="Symbol" w:hAnsi="Symbol" w:hint="default"/>
      </w:rPr>
    </w:lvl>
    <w:lvl w:ilvl="1" w:tplc="080C0003" w:tentative="1">
      <w:start w:val="1"/>
      <w:numFmt w:val="bullet"/>
      <w:lvlText w:val="o"/>
      <w:lvlJc w:val="left"/>
      <w:pPr>
        <w:ind w:left="1512" w:hanging="360"/>
      </w:pPr>
      <w:rPr>
        <w:rFonts w:ascii="Courier New" w:hAnsi="Courier New" w:cs="Courier New" w:hint="default"/>
      </w:rPr>
    </w:lvl>
    <w:lvl w:ilvl="2" w:tplc="080C0005" w:tentative="1">
      <w:start w:val="1"/>
      <w:numFmt w:val="bullet"/>
      <w:lvlText w:val=""/>
      <w:lvlJc w:val="left"/>
      <w:pPr>
        <w:ind w:left="2232" w:hanging="360"/>
      </w:pPr>
      <w:rPr>
        <w:rFonts w:ascii="Wingdings" w:hAnsi="Wingdings" w:hint="default"/>
      </w:rPr>
    </w:lvl>
    <w:lvl w:ilvl="3" w:tplc="080C0001" w:tentative="1">
      <w:start w:val="1"/>
      <w:numFmt w:val="bullet"/>
      <w:lvlText w:val=""/>
      <w:lvlJc w:val="left"/>
      <w:pPr>
        <w:ind w:left="2952" w:hanging="360"/>
      </w:pPr>
      <w:rPr>
        <w:rFonts w:ascii="Symbol" w:hAnsi="Symbol" w:hint="default"/>
      </w:rPr>
    </w:lvl>
    <w:lvl w:ilvl="4" w:tplc="080C0003" w:tentative="1">
      <w:start w:val="1"/>
      <w:numFmt w:val="bullet"/>
      <w:lvlText w:val="o"/>
      <w:lvlJc w:val="left"/>
      <w:pPr>
        <w:ind w:left="3672" w:hanging="360"/>
      </w:pPr>
      <w:rPr>
        <w:rFonts w:ascii="Courier New" w:hAnsi="Courier New" w:cs="Courier New" w:hint="default"/>
      </w:rPr>
    </w:lvl>
    <w:lvl w:ilvl="5" w:tplc="080C0005" w:tentative="1">
      <w:start w:val="1"/>
      <w:numFmt w:val="bullet"/>
      <w:lvlText w:val=""/>
      <w:lvlJc w:val="left"/>
      <w:pPr>
        <w:ind w:left="4392" w:hanging="360"/>
      </w:pPr>
      <w:rPr>
        <w:rFonts w:ascii="Wingdings" w:hAnsi="Wingdings" w:hint="default"/>
      </w:rPr>
    </w:lvl>
    <w:lvl w:ilvl="6" w:tplc="080C0001" w:tentative="1">
      <w:start w:val="1"/>
      <w:numFmt w:val="bullet"/>
      <w:lvlText w:val=""/>
      <w:lvlJc w:val="left"/>
      <w:pPr>
        <w:ind w:left="5112" w:hanging="360"/>
      </w:pPr>
      <w:rPr>
        <w:rFonts w:ascii="Symbol" w:hAnsi="Symbol" w:hint="default"/>
      </w:rPr>
    </w:lvl>
    <w:lvl w:ilvl="7" w:tplc="080C0003" w:tentative="1">
      <w:start w:val="1"/>
      <w:numFmt w:val="bullet"/>
      <w:lvlText w:val="o"/>
      <w:lvlJc w:val="left"/>
      <w:pPr>
        <w:ind w:left="5832" w:hanging="360"/>
      </w:pPr>
      <w:rPr>
        <w:rFonts w:ascii="Courier New" w:hAnsi="Courier New" w:cs="Courier New" w:hint="default"/>
      </w:rPr>
    </w:lvl>
    <w:lvl w:ilvl="8" w:tplc="080C0005" w:tentative="1">
      <w:start w:val="1"/>
      <w:numFmt w:val="bullet"/>
      <w:lvlText w:val=""/>
      <w:lvlJc w:val="left"/>
      <w:pPr>
        <w:ind w:left="6552" w:hanging="360"/>
      </w:pPr>
      <w:rPr>
        <w:rFonts w:ascii="Wingdings" w:hAnsi="Wingdings" w:hint="default"/>
      </w:rPr>
    </w:lvl>
  </w:abstractNum>
  <w:abstractNum w:abstractNumId="12">
    <w:nsid w:val="38E56602"/>
    <w:multiLevelType w:val="hybridMultilevel"/>
    <w:tmpl w:val="6442C5D6"/>
    <w:lvl w:ilvl="0" w:tplc="432C544E">
      <w:start w:val="1"/>
      <w:numFmt w:val="decimal"/>
      <w:lvlText w:val="%1."/>
      <w:lvlJc w:val="left"/>
      <w:pPr>
        <w:tabs>
          <w:tab w:val="num" w:pos="720"/>
        </w:tabs>
        <w:ind w:left="720" w:hanging="360"/>
      </w:pPr>
    </w:lvl>
    <w:lvl w:ilvl="1" w:tplc="ADE4A79C" w:tentative="1">
      <w:start w:val="1"/>
      <w:numFmt w:val="decimal"/>
      <w:lvlText w:val="%2."/>
      <w:lvlJc w:val="left"/>
      <w:pPr>
        <w:tabs>
          <w:tab w:val="num" w:pos="1440"/>
        </w:tabs>
        <w:ind w:left="1440" w:hanging="360"/>
      </w:pPr>
    </w:lvl>
    <w:lvl w:ilvl="2" w:tplc="7D605084" w:tentative="1">
      <w:start w:val="1"/>
      <w:numFmt w:val="decimal"/>
      <w:lvlText w:val="%3."/>
      <w:lvlJc w:val="left"/>
      <w:pPr>
        <w:tabs>
          <w:tab w:val="num" w:pos="2160"/>
        </w:tabs>
        <w:ind w:left="2160" w:hanging="360"/>
      </w:pPr>
    </w:lvl>
    <w:lvl w:ilvl="3" w:tplc="4F7A54BA" w:tentative="1">
      <w:start w:val="1"/>
      <w:numFmt w:val="decimal"/>
      <w:lvlText w:val="%4."/>
      <w:lvlJc w:val="left"/>
      <w:pPr>
        <w:tabs>
          <w:tab w:val="num" w:pos="2880"/>
        </w:tabs>
        <w:ind w:left="2880" w:hanging="360"/>
      </w:pPr>
    </w:lvl>
    <w:lvl w:ilvl="4" w:tplc="D00CE820" w:tentative="1">
      <w:start w:val="1"/>
      <w:numFmt w:val="decimal"/>
      <w:lvlText w:val="%5."/>
      <w:lvlJc w:val="left"/>
      <w:pPr>
        <w:tabs>
          <w:tab w:val="num" w:pos="3600"/>
        </w:tabs>
        <w:ind w:left="3600" w:hanging="360"/>
      </w:pPr>
    </w:lvl>
    <w:lvl w:ilvl="5" w:tplc="DA348564" w:tentative="1">
      <w:start w:val="1"/>
      <w:numFmt w:val="decimal"/>
      <w:lvlText w:val="%6."/>
      <w:lvlJc w:val="left"/>
      <w:pPr>
        <w:tabs>
          <w:tab w:val="num" w:pos="4320"/>
        </w:tabs>
        <w:ind w:left="4320" w:hanging="360"/>
      </w:pPr>
    </w:lvl>
    <w:lvl w:ilvl="6" w:tplc="C104452A" w:tentative="1">
      <w:start w:val="1"/>
      <w:numFmt w:val="decimal"/>
      <w:lvlText w:val="%7."/>
      <w:lvlJc w:val="left"/>
      <w:pPr>
        <w:tabs>
          <w:tab w:val="num" w:pos="5040"/>
        </w:tabs>
        <w:ind w:left="5040" w:hanging="360"/>
      </w:pPr>
    </w:lvl>
    <w:lvl w:ilvl="7" w:tplc="E69EEC82" w:tentative="1">
      <w:start w:val="1"/>
      <w:numFmt w:val="decimal"/>
      <w:lvlText w:val="%8."/>
      <w:lvlJc w:val="left"/>
      <w:pPr>
        <w:tabs>
          <w:tab w:val="num" w:pos="5760"/>
        </w:tabs>
        <w:ind w:left="5760" w:hanging="360"/>
      </w:pPr>
    </w:lvl>
    <w:lvl w:ilvl="8" w:tplc="CC28C82E" w:tentative="1">
      <w:start w:val="1"/>
      <w:numFmt w:val="decimal"/>
      <w:lvlText w:val="%9."/>
      <w:lvlJc w:val="left"/>
      <w:pPr>
        <w:tabs>
          <w:tab w:val="num" w:pos="6480"/>
        </w:tabs>
        <w:ind w:left="6480" w:hanging="360"/>
      </w:pPr>
    </w:lvl>
  </w:abstractNum>
  <w:abstractNum w:abstractNumId="13">
    <w:nsid w:val="4A77087E"/>
    <w:multiLevelType w:val="hybridMultilevel"/>
    <w:tmpl w:val="F97E0D42"/>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4">
    <w:nsid w:val="4CCA1703"/>
    <w:multiLevelType w:val="hybridMultilevel"/>
    <w:tmpl w:val="13C8433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nsid w:val="5B7E4070"/>
    <w:multiLevelType w:val="hybridMultilevel"/>
    <w:tmpl w:val="A180358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F3E0B86"/>
    <w:multiLevelType w:val="hybridMultilevel"/>
    <w:tmpl w:val="907680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63A33EFA"/>
    <w:multiLevelType w:val="hybridMultilevel"/>
    <w:tmpl w:val="94E21022"/>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nsid w:val="65A546B8"/>
    <w:multiLevelType w:val="hybridMultilevel"/>
    <w:tmpl w:val="81201F9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70F6FD6"/>
    <w:multiLevelType w:val="hybridMultilevel"/>
    <w:tmpl w:val="4A9CC2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7B460A24"/>
    <w:multiLevelType w:val="hybridMultilevel"/>
    <w:tmpl w:val="CBEE01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8"/>
  </w:num>
  <w:num w:numId="3">
    <w:abstractNumId w:val="14"/>
  </w:num>
  <w:num w:numId="4">
    <w:abstractNumId w:val="7"/>
  </w:num>
  <w:num w:numId="5">
    <w:abstractNumId w:val="15"/>
  </w:num>
  <w:num w:numId="6">
    <w:abstractNumId w:val="16"/>
  </w:num>
  <w:num w:numId="7">
    <w:abstractNumId w:val="0"/>
  </w:num>
  <w:num w:numId="8">
    <w:abstractNumId w:val="20"/>
  </w:num>
  <w:num w:numId="9">
    <w:abstractNumId w:val="2"/>
  </w:num>
  <w:num w:numId="10">
    <w:abstractNumId w:val="12"/>
  </w:num>
  <w:num w:numId="11">
    <w:abstractNumId w:val="17"/>
  </w:num>
  <w:num w:numId="12">
    <w:abstractNumId w:val="19"/>
  </w:num>
  <w:num w:numId="13">
    <w:abstractNumId w:val="1"/>
  </w:num>
  <w:num w:numId="14">
    <w:abstractNumId w:val="10"/>
  </w:num>
  <w:num w:numId="15">
    <w:abstractNumId w:val="3"/>
  </w:num>
  <w:num w:numId="16">
    <w:abstractNumId w:val="9"/>
  </w:num>
  <w:num w:numId="17">
    <w:abstractNumId w:val="6"/>
  </w:num>
  <w:num w:numId="18">
    <w:abstractNumId w:val="13"/>
  </w:num>
  <w:num w:numId="19">
    <w:abstractNumId w:val="4"/>
  </w:num>
  <w:num w:numId="20">
    <w:abstractNumId w:val="11"/>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A0"/>
    <w:rsid w:val="003E2CA0"/>
    <w:rsid w:val="007E2BA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FDAC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2CA0"/>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3E2CA0"/>
    <w:rPr>
      <w:color w:val="0000FF"/>
      <w:u w:val="single"/>
    </w:rPr>
  </w:style>
  <w:style w:type="paragraph" w:styleId="Testonotaapidipagina">
    <w:name w:val="footnote text"/>
    <w:aliases w:val="stile 1,stile 1 Carattere Carattere Carattere,stile 1 Carattere"/>
    <w:basedOn w:val="Normale"/>
    <w:link w:val="TestonotaapidipaginaCarattere"/>
    <w:rsid w:val="003E2CA0"/>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3E2CA0"/>
    <w:rPr>
      <w:rFonts w:ascii="Times New Roman" w:eastAsia="Times New Roman" w:hAnsi="Times New Roman" w:cs="Times New Roman"/>
      <w:sz w:val="20"/>
      <w:szCs w:val="20"/>
    </w:rPr>
  </w:style>
  <w:style w:type="character" w:styleId="Rimandonotaapidipagina">
    <w:name w:val="footnote reference"/>
    <w:rsid w:val="003E2CA0"/>
    <w:rPr>
      <w:vertAlign w:val="superscript"/>
    </w:rPr>
  </w:style>
  <w:style w:type="paragraph" w:styleId="Paragrafoelenco">
    <w:name w:val="List Paragraph"/>
    <w:basedOn w:val="Normale"/>
    <w:uiPriority w:val="72"/>
    <w:qFormat/>
    <w:rsid w:val="003E2CA0"/>
    <w:pPr>
      <w:ind w:left="720"/>
      <w:contextualSpacing/>
    </w:pPr>
  </w:style>
  <w:style w:type="table" w:styleId="Grigliachiara-Colore1">
    <w:name w:val="Light Grid Accent 1"/>
    <w:basedOn w:val="Tabellanormale"/>
    <w:uiPriority w:val="62"/>
    <w:rsid w:val="003E2CA0"/>
    <w:rPr>
      <w:rFonts w:ascii="Times New Roman" w:eastAsia="Times New Roman" w:hAnsi="Times New Roman" w:cs="Times New Roman"/>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estofumetto">
    <w:name w:val="Balloon Text"/>
    <w:basedOn w:val="Normale"/>
    <w:link w:val="TestofumettoCarattere"/>
    <w:uiPriority w:val="99"/>
    <w:semiHidden/>
    <w:unhideWhenUsed/>
    <w:rsid w:val="003E2CA0"/>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E2CA0"/>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E2CA0"/>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3E2CA0"/>
    <w:rPr>
      <w:color w:val="0000FF"/>
      <w:u w:val="single"/>
    </w:rPr>
  </w:style>
  <w:style w:type="paragraph" w:styleId="Testonotaapidipagina">
    <w:name w:val="footnote text"/>
    <w:aliases w:val="stile 1,stile 1 Carattere Carattere Carattere,stile 1 Carattere"/>
    <w:basedOn w:val="Normale"/>
    <w:link w:val="TestonotaapidipaginaCarattere"/>
    <w:rsid w:val="003E2CA0"/>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3E2CA0"/>
    <w:rPr>
      <w:rFonts w:ascii="Times New Roman" w:eastAsia="Times New Roman" w:hAnsi="Times New Roman" w:cs="Times New Roman"/>
      <w:sz w:val="20"/>
      <w:szCs w:val="20"/>
    </w:rPr>
  </w:style>
  <w:style w:type="character" w:styleId="Rimandonotaapidipagina">
    <w:name w:val="footnote reference"/>
    <w:rsid w:val="003E2CA0"/>
    <w:rPr>
      <w:vertAlign w:val="superscript"/>
    </w:rPr>
  </w:style>
  <w:style w:type="paragraph" w:styleId="Paragrafoelenco">
    <w:name w:val="List Paragraph"/>
    <w:basedOn w:val="Normale"/>
    <w:uiPriority w:val="72"/>
    <w:qFormat/>
    <w:rsid w:val="003E2CA0"/>
    <w:pPr>
      <w:ind w:left="720"/>
      <w:contextualSpacing/>
    </w:pPr>
  </w:style>
  <w:style w:type="table" w:styleId="Grigliachiara-Colore1">
    <w:name w:val="Light Grid Accent 1"/>
    <w:basedOn w:val="Tabellanormale"/>
    <w:uiPriority w:val="62"/>
    <w:rsid w:val="003E2CA0"/>
    <w:rPr>
      <w:rFonts w:ascii="Times New Roman" w:eastAsia="Times New Roman" w:hAnsi="Times New Roman" w:cs="Times New Roman"/>
      <w:sz w:val="20"/>
      <w:szCs w:val="20"/>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estofumetto">
    <w:name w:val="Balloon Text"/>
    <w:basedOn w:val="Normale"/>
    <w:link w:val="TestofumettoCarattere"/>
    <w:uiPriority w:val="99"/>
    <w:semiHidden/>
    <w:unhideWhenUsed/>
    <w:rsid w:val="003E2CA0"/>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E2CA0"/>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formafin.it" TargetMode="Externa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formafin.it" TargetMode="External"/><Relationship Id="rId10"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coesioneterritoriale.gov.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3923</Words>
  <Characters>22365</Characters>
  <Application>Microsoft Macintosh Word</Application>
  <DocSecurity>0</DocSecurity>
  <Lines>186</Lines>
  <Paragraphs>52</Paragraphs>
  <ScaleCrop>false</ScaleCrop>
  <Company/>
  <LinksUpToDate>false</LinksUpToDate>
  <CharactersWithSpaces>26236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1</cp:revision>
  <dcterms:created xsi:type="dcterms:W3CDTF">2015-10-30T10:38:00Z</dcterms:created>
  <dcterms:modified xsi:type="dcterms:W3CDTF">2015-10-30T10:40:00Z</dcterms:modified>
</cp:coreProperties>
</file>