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21C" w:rsidRPr="00AC021C" w:rsidRDefault="00AC021C" w:rsidP="00AC021C">
      <w:pPr>
        <w:spacing w:line="260" w:lineRule="exact"/>
        <w:jc w:val="both"/>
        <w:rPr>
          <w:rFonts w:ascii="Arial" w:hAnsi="Arial" w:cs="Arial"/>
          <w:b/>
          <w:i/>
        </w:rPr>
      </w:pPr>
    </w:p>
    <w:p w:rsidR="00AC021C" w:rsidRPr="00AC021C" w:rsidRDefault="00AC021C" w:rsidP="00AC021C">
      <w:pPr>
        <w:ind w:left="708"/>
        <w:rPr>
          <w:rFonts w:ascii="Arial" w:hAnsi="Arial" w:cs="Arial"/>
          <w:b/>
          <w:i/>
          <w:lang w:val="fr-FR"/>
        </w:rPr>
      </w:pPr>
      <w:r w:rsidRPr="00AC021C">
        <w:rPr>
          <w:rFonts w:ascii="Arial" w:hAnsi="Arial" w:cs="Arial"/>
          <w:b/>
          <w:i/>
          <w:lang w:val="en-GB"/>
        </w:rPr>
        <w:t xml:space="preserve">Il </w:t>
      </w:r>
      <w:proofErr w:type="gramStart"/>
      <w:r w:rsidRPr="00AC021C">
        <w:rPr>
          <w:rFonts w:ascii="Arial" w:hAnsi="Arial" w:cs="Arial"/>
          <w:b/>
          <w:i/>
          <w:lang w:val="en-GB"/>
        </w:rPr>
        <w:t>Self Learning</w:t>
      </w:r>
      <w:proofErr w:type="gramEnd"/>
      <w:r w:rsidRPr="00AC021C">
        <w:rPr>
          <w:rFonts w:ascii="Arial" w:hAnsi="Arial" w:cs="Arial"/>
          <w:b/>
          <w:i/>
          <w:lang w:val="en-GB"/>
        </w:rPr>
        <w:t>: Life Long Learning e Self Learning</w:t>
      </w:r>
      <w:r w:rsidRPr="00AC021C">
        <w:rPr>
          <w:rFonts w:ascii="Arial" w:hAnsi="Arial" w:cs="Arial"/>
          <w:b/>
          <w:i/>
          <w:lang w:val="en-GB"/>
        </w:rPr>
        <w:fldChar w:fldCharType="begin"/>
      </w:r>
      <w:r w:rsidRPr="00AC021C">
        <w:rPr>
          <w:lang w:val="en-GB"/>
        </w:rPr>
        <w:instrText xml:space="preserve"> XE "</w:instrText>
      </w:r>
      <w:r w:rsidRPr="00AC021C">
        <w:rPr>
          <w:rFonts w:ascii="Arial" w:hAnsi="Arial" w:cs="Arial"/>
          <w:b/>
          <w:i/>
          <w:lang w:val="en-GB"/>
        </w:rPr>
        <w:instrText>d. Il Self Learning</w:instrText>
      </w:r>
      <w:r w:rsidRPr="00AC021C">
        <w:rPr>
          <w:lang w:val="en-GB"/>
        </w:rPr>
        <w:instrText>\</w:instrText>
      </w:r>
      <w:r w:rsidRPr="00AC021C">
        <w:rPr>
          <w:rFonts w:ascii="Arial" w:hAnsi="Arial" w:cs="Arial"/>
          <w:b/>
          <w:i/>
          <w:lang w:val="en-GB"/>
        </w:rPr>
        <w:instrText>: Life Long Learning e Self Learning</w:instrText>
      </w:r>
      <w:r w:rsidRPr="00AC021C">
        <w:rPr>
          <w:lang w:val="en-GB"/>
        </w:rPr>
        <w:instrText xml:space="preserve">" </w:instrText>
      </w:r>
      <w:r w:rsidRPr="00AC021C">
        <w:rPr>
          <w:rFonts w:ascii="Arial" w:hAnsi="Arial" w:cs="Arial"/>
          <w:b/>
          <w:i/>
          <w:lang w:val="en-GB"/>
        </w:rPr>
        <w:fldChar w:fldCharType="end"/>
      </w:r>
    </w:p>
    <w:p w:rsidR="00AC021C" w:rsidRPr="00AC021C" w:rsidRDefault="00AC021C" w:rsidP="00AC021C">
      <w:pPr>
        <w:rPr>
          <w:rFonts w:ascii="Arial" w:hAnsi="Arial" w:cs="Arial"/>
          <w:b/>
          <w:i/>
          <w:lang w:val="fr-FR"/>
        </w:rPr>
      </w:pPr>
    </w:p>
    <w:p w:rsidR="00AC021C" w:rsidRPr="00AC021C" w:rsidRDefault="00AC021C" w:rsidP="00AC021C">
      <w:pPr>
        <w:jc w:val="both"/>
        <w:rPr>
          <w:sz w:val="22"/>
          <w:szCs w:val="22"/>
        </w:rPr>
      </w:pPr>
      <w:r w:rsidRPr="00AC021C">
        <w:rPr>
          <w:sz w:val="22"/>
          <w:szCs w:val="22"/>
          <w:lang w:val="en-GB"/>
        </w:rPr>
        <w:t xml:space="preserve">    </w:t>
      </w:r>
      <w:r w:rsidRPr="00AC021C">
        <w:rPr>
          <w:sz w:val="22"/>
          <w:szCs w:val="22"/>
        </w:rPr>
        <w:t xml:space="preserve">Il termine </w:t>
      </w:r>
      <w:proofErr w:type="spellStart"/>
      <w:r w:rsidRPr="00AC021C">
        <w:rPr>
          <w:sz w:val="22"/>
          <w:szCs w:val="22"/>
        </w:rPr>
        <w:t>L</w:t>
      </w:r>
      <w:r w:rsidRPr="00AC021C">
        <w:rPr>
          <w:i/>
          <w:sz w:val="22"/>
          <w:szCs w:val="22"/>
        </w:rPr>
        <w:t>ifelong</w:t>
      </w:r>
      <w:proofErr w:type="spellEnd"/>
      <w:r w:rsidRPr="00AC021C">
        <w:rPr>
          <w:i/>
          <w:sz w:val="22"/>
          <w:szCs w:val="22"/>
        </w:rPr>
        <w:t xml:space="preserve"> Learning</w:t>
      </w:r>
      <w:r w:rsidRPr="00AC021C">
        <w:rPr>
          <w:sz w:val="22"/>
          <w:szCs w:val="22"/>
        </w:rPr>
        <w:t xml:space="preserve"> è caratterizzato da una doppia lettura semantica e concettuale: può rimandare </w:t>
      </w:r>
      <w:proofErr w:type="gramStart"/>
      <w:r w:rsidRPr="00AC021C">
        <w:rPr>
          <w:sz w:val="22"/>
          <w:szCs w:val="22"/>
        </w:rPr>
        <w:t>ad</w:t>
      </w:r>
      <w:proofErr w:type="gramEnd"/>
      <w:r w:rsidRPr="00AC021C">
        <w:rPr>
          <w:sz w:val="22"/>
          <w:szCs w:val="22"/>
        </w:rPr>
        <w:t xml:space="preserve"> un’</w:t>
      </w:r>
      <w:r w:rsidRPr="00AC021C">
        <w:rPr>
          <w:rStyle w:val="Enfasicorsivo"/>
          <w:bCs/>
          <w:i w:val="0"/>
          <w:sz w:val="22"/>
          <w:szCs w:val="22"/>
        </w:rPr>
        <w:t>acquisizione delle competenze</w:t>
      </w:r>
      <w:r w:rsidRPr="00AC021C">
        <w:rPr>
          <w:i/>
          <w:sz w:val="22"/>
          <w:szCs w:val="22"/>
        </w:rPr>
        <w:t xml:space="preserve"> </w:t>
      </w:r>
      <w:r w:rsidRPr="00AC021C">
        <w:rPr>
          <w:sz w:val="22"/>
          <w:szCs w:val="22"/>
        </w:rPr>
        <w:t>e ad un</w:t>
      </w:r>
      <w:r w:rsidRPr="00AC021C">
        <w:rPr>
          <w:i/>
          <w:sz w:val="22"/>
          <w:szCs w:val="22"/>
        </w:rPr>
        <w:t xml:space="preserve"> </w:t>
      </w:r>
      <w:r w:rsidRPr="00AC021C">
        <w:rPr>
          <w:rStyle w:val="Enfasicorsivo"/>
          <w:bCs/>
          <w:i w:val="0"/>
          <w:sz w:val="22"/>
          <w:szCs w:val="22"/>
        </w:rPr>
        <w:t>accesso del sapere durante il corso della vita</w:t>
      </w:r>
      <w:r w:rsidRPr="00AC021C">
        <w:rPr>
          <w:sz w:val="22"/>
          <w:szCs w:val="22"/>
        </w:rPr>
        <w:t xml:space="preserve"> dalla prospettiva del soggetto, da un lato inteso come l’insieme delle motivazioni personali e dei progetti ed i processi formativi che il soggetto attua individualmente (auto-formazione, autodidattica, </w:t>
      </w:r>
      <w:r w:rsidRPr="00AC021C">
        <w:rPr>
          <w:i/>
          <w:sz w:val="22"/>
          <w:szCs w:val="22"/>
        </w:rPr>
        <w:t>Self-</w:t>
      </w:r>
      <w:proofErr w:type="spellStart"/>
      <w:r w:rsidRPr="00AC021C">
        <w:rPr>
          <w:i/>
          <w:sz w:val="22"/>
          <w:szCs w:val="22"/>
        </w:rPr>
        <w:t>directed</w:t>
      </w:r>
      <w:proofErr w:type="spellEnd"/>
      <w:r w:rsidRPr="00AC021C">
        <w:rPr>
          <w:i/>
          <w:sz w:val="22"/>
          <w:szCs w:val="22"/>
        </w:rPr>
        <w:t xml:space="preserve"> Learning</w:t>
      </w:r>
      <w:r w:rsidRPr="00AC021C">
        <w:rPr>
          <w:sz w:val="22"/>
          <w:szCs w:val="22"/>
        </w:rPr>
        <w:t>), da un altro lato come l’</w:t>
      </w:r>
      <w:r w:rsidRPr="00AC021C">
        <w:rPr>
          <w:rStyle w:val="Enfasigrassetto"/>
          <w:b w:val="0"/>
          <w:iCs/>
          <w:sz w:val="22"/>
          <w:szCs w:val="22"/>
        </w:rPr>
        <w:t>attenzione dei decisori politici</w:t>
      </w:r>
      <w:r w:rsidRPr="00AC021C">
        <w:rPr>
          <w:b/>
          <w:sz w:val="22"/>
          <w:szCs w:val="22"/>
        </w:rPr>
        <w:t xml:space="preserve"> </w:t>
      </w:r>
      <w:r w:rsidRPr="00AC021C">
        <w:rPr>
          <w:sz w:val="22"/>
          <w:szCs w:val="22"/>
        </w:rPr>
        <w:t xml:space="preserve">e delle istituzioni </w:t>
      </w:r>
      <w:r w:rsidRPr="00AC021C">
        <w:rPr>
          <w:rStyle w:val="Enfasicorsivo"/>
          <w:bCs/>
          <w:i w:val="0"/>
          <w:sz w:val="22"/>
          <w:szCs w:val="22"/>
        </w:rPr>
        <w:t>verso i bisogni formativi del singolo,</w:t>
      </w:r>
      <w:r w:rsidRPr="00AC021C">
        <w:rPr>
          <w:i/>
          <w:sz w:val="22"/>
          <w:szCs w:val="22"/>
        </w:rPr>
        <w:t xml:space="preserve"> </w:t>
      </w:r>
      <w:r w:rsidRPr="00AC021C">
        <w:rPr>
          <w:sz w:val="22"/>
          <w:szCs w:val="22"/>
        </w:rPr>
        <w:t>quanto alle possibilità ed alle opportunità che questo ha per soddisfare quei bisogni.</w:t>
      </w:r>
      <w:r w:rsidRPr="00AC021C">
        <w:rPr>
          <w:rStyle w:val="Rimandonotaapidipagina"/>
          <w:sz w:val="22"/>
          <w:szCs w:val="22"/>
        </w:rPr>
        <w:footnoteReference w:id="1"/>
      </w:r>
    </w:p>
    <w:p w:rsidR="00AC021C" w:rsidRPr="00AC021C" w:rsidRDefault="00AC021C" w:rsidP="00AC021C">
      <w:pPr>
        <w:jc w:val="both"/>
        <w:rPr>
          <w:sz w:val="22"/>
          <w:szCs w:val="22"/>
        </w:rPr>
      </w:pPr>
    </w:p>
    <w:p w:rsidR="00AC021C" w:rsidRPr="00AC021C" w:rsidRDefault="00AC021C" w:rsidP="00AC021C">
      <w:pPr>
        <w:jc w:val="both"/>
        <w:rPr>
          <w:sz w:val="22"/>
          <w:szCs w:val="22"/>
        </w:rPr>
      </w:pPr>
      <w:r w:rsidRPr="00AC021C">
        <w:rPr>
          <w:sz w:val="22"/>
          <w:szCs w:val="22"/>
        </w:rPr>
        <w:t xml:space="preserve">   Il modello di </w:t>
      </w:r>
      <w:r w:rsidRPr="00AC021C">
        <w:rPr>
          <w:i/>
          <w:sz w:val="22"/>
          <w:szCs w:val="22"/>
        </w:rPr>
        <w:t>Life Long Learning</w:t>
      </w:r>
      <w:r w:rsidRPr="00AC021C">
        <w:rPr>
          <w:sz w:val="22"/>
          <w:szCs w:val="22"/>
        </w:rPr>
        <w:t xml:space="preserve"> è caratterizzato dal </w:t>
      </w:r>
      <w:r w:rsidRPr="00AC021C">
        <w:rPr>
          <w:i/>
          <w:sz w:val="22"/>
          <w:szCs w:val="22"/>
        </w:rPr>
        <w:t>Self-</w:t>
      </w:r>
      <w:proofErr w:type="spellStart"/>
      <w:r w:rsidRPr="00AC021C">
        <w:rPr>
          <w:i/>
          <w:sz w:val="22"/>
          <w:szCs w:val="22"/>
        </w:rPr>
        <w:t>directed</w:t>
      </w:r>
      <w:proofErr w:type="spellEnd"/>
      <w:r w:rsidRPr="00AC021C">
        <w:rPr>
          <w:i/>
          <w:sz w:val="22"/>
          <w:szCs w:val="22"/>
        </w:rPr>
        <w:t xml:space="preserve"> Learning</w:t>
      </w:r>
      <w:r w:rsidRPr="00AC021C">
        <w:rPr>
          <w:sz w:val="22"/>
          <w:szCs w:val="22"/>
        </w:rPr>
        <w:t xml:space="preserve"> ed è stato </w:t>
      </w:r>
      <w:proofErr w:type="gramStart"/>
      <w:r w:rsidRPr="00AC021C">
        <w:rPr>
          <w:sz w:val="22"/>
          <w:szCs w:val="22"/>
        </w:rPr>
        <w:t>strutturato</w:t>
      </w:r>
      <w:proofErr w:type="gramEnd"/>
      <w:r w:rsidRPr="00AC021C">
        <w:rPr>
          <w:sz w:val="22"/>
          <w:szCs w:val="22"/>
        </w:rPr>
        <w:t xml:space="preserve"> come un processo ciclico formato da quattro elementi:</w:t>
      </w:r>
    </w:p>
    <w:p w:rsidR="00AC021C" w:rsidRPr="00AC021C" w:rsidRDefault="00AC021C" w:rsidP="00AC021C">
      <w:pPr>
        <w:jc w:val="both"/>
        <w:rPr>
          <w:sz w:val="22"/>
          <w:szCs w:val="22"/>
        </w:rPr>
      </w:pPr>
    </w:p>
    <w:p w:rsidR="00AC021C" w:rsidRPr="00AC021C" w:rsidRDefault="00AC021C" w:rsidP="00AC021C">
      <w:pPr>
        <w:numPr>
          <w:ilvl w:val="0"/>
          <w:numId w:val="1"/>
        </w:numPr>
        <w:jc w:val="both"/>
        <w:rPr>
          <w:sz w:val="22"/>
          <w:szCs w:val="22"/>
        </w:rPr>
      </w:pPr>
      <w:r w:rsidRPr="00AC021C">
        <w:rPr>
          <w:sz w:val="22"/>
          <w:szCs w:val="22"/>
        </w:rPr>
        <w:t>Conoscenza del discente (</w:t>
      </w:r>
      <w:r w:rsidRPr="00AC021C">
        <w:rPr>
          <w:i/>
          <w:sz w:val="22"/>
          <w:szCs w:val="22"/>
        </w:rPr>
        <w:t xml:space="preserve">Self </w:t>
      </w:r>
      <w:proofErr w:type="spellStart"/>
      <w:r w:rsidRPr="00AC021C">
        <w:rPr>
          <w:i/>
          <w:sz w:val="22"/>
          <w:szCs w:val="22"/>
        </w:rPr>
        <w:t>awarness</w:t>
      </w:r>
      <w:proofErr w:type="spellEnd"/>
      <w:r w:rsidRPr="00AC021C">
        <w:rPr>
          <w:sz w:val="22"/>
          <w:szCs w:val="22"/>
        </w:rPr>
        <w:t xml:space="preserve">), focalizzata nel capire quale sia la conoscenza prioritaria del discente, la motivazione e l’attitudine alla conoscenza (es. </w:t>
      </w:r>
      <w:r w:rsidRPr="00AC021C">
        <w:rPr>
          <w:i/>
          <w:sz w:val="22"/>
          <w:szCs w:val="22"/>
        </w:rPr>
        <w:t xml:space="preserve">Self </w:t>
      </w:r>
      <w:proofErr w:type="spellStart"/>
      <w:r w:rsidRPr="00AC021C">
        <w:rPr>
          <w:i/>
          <w:sz w:val="22"/>
          <w:szCs w:val="22"/>
        </w:rPr>
        <w:t>efficacy</w:t>
      </w:r>
      <w:proofErr w:type="spellEnd"/>
      <w:r w:rsidRPr="00AC021C">
        <w:rPr>
          <w:sz w:val="22"/>
          <w:szCs w:val="22"/>
        </w:rPr>
        <w:t xml:space="preserve">). Il sistema di valore del discente gioca un ruolo importante nel definire la propria identità. L’identità è inclusa in un </w:t>
      </w:r>
      <w:proofErr w:type="gramStart"/>
      <w:r w:rsidRPr="00AC021C">
        <w:rPr>
          <w:sz w:val="22"/>
          <w:szCs w:val="22"/>
        </w:rPr>
        <w:t>contesto</w:t>
      </w:r>
      <w:proofErr w:type="gramEnd"/>
      <w:r w:rsidRPr="00AC021C">
        <w:rPr>
          <w:sz w:val="22"/>
          <w:szCs w:val="22"/>
        </w:rPr>
        <w:t xml:space="preserve"> socio-economico, che impatterà nelle decisioni che attivano un processo di apprendimento in un determinato momento. (</w:t>
      </w:r>
      <w:proofErr w:type="spellStart"/>
      <w:r w:rsidRPr="00AC021C">
        <w:rPr>
          <w:sz w:val="22"/>
          <w:szCs w:val="22"/>
        </w:rPr>
        <w:t>Knowles</w:t>
      </w:r>
      <w:proofErr w:type="spellEnd"/>
      <w:r w:rsidRPr="00AC021C">
        <w:rPr>
          <w:sz w:val="22"/>
          <w:szCs w:val="22"/>
        </w:rPr>
        <w:t>, 1980);</w:t>
      </w:r>
    </w:p>
    <w:p w:rsidR="00AC021C" w:rsidRPr="00AC021C" w:rsidRDefault="00AC021C" w:rsidP="00AC021C">
      <w:pPr>
        <w:numPr>
          <w:ilvl w:val="0"/>
          <w:numId w:val="1"/>
        </w:numPr>
        <w:jc w:val="both"/>
        <w:rPr>
          <w:sz w:val="22"/>
          <w:szCs w:val="22"/>
        </w:rPr>
      </w:pPr>
      <w:r w:rsidRPr="00AC021C">
        <w:rPr>
          <w:sz w:val="22"/>
          <w:szCs w:val="22"/>
        </w:rPr>
        <w:t>Pianificare per apprendere (</w:t>
      </w:r>
      <w:r w:rsidRPr="00AC021C">
        <w:rPr>
          <w:i/>
          <w:sz w:val="22"/>
          <w:szCs w:val="22"/>
        </w:rPr>
        <w:t>Self management</w:t>
      </w:r>
      <w:r w:rsidRPr="00AC021C">
        <w:rPr>
          <w:sz w:val="22"/>
          <w:szCs w:val="22"/>
        </w:rPr>
        <w:t xml:space="preserve">), si riferisce al fatto di </w:t>
      </w:r>
      <w:proofErr w:type="gramStart"/>
      <w:r w:rsidRPr="00AC021C">
        <w:rPr>
          <w:sz w:val="22"/>
          <w:szCs w:val="22"/>
        </w:rPr>
        <w:t>delineare</w:t>
      </w:r>
      <w:proofErr w:type="gramEnd"/>
      <w:r w:rsidRPr="00AC021C">
        <w:rPr>
          <w:sz w:val="22"/>
          <w:szCs w:val="22"/>
        </w:rPr>
        <w:t xml:space="preserve"> gli obiettivi e lo sviluppo di un piano per il raggiungimento degli obiettivi stessi;</w:t>
      </w:r>
    </w:p>
    <w:p w:rsidR="00AC021C" w:rsidRPr="00AC021C" w:rsidRDefault="00AC021C" w:rsidP="00AC021C">
      <w:pPr>
        <w:numPr>
          <w:ilvl w:val="0"/>
          <w:numId w:val="1"/>
        </w:numPr>
        <w:jc w:val="both"/>
        <w:rPr>
          <w:sz w:val="22"/>
          <w:szCs w:val="22"/>
        </w:rPr>
      </w:pPr>
      <w:r w:rsidRPr="00AC021C">
        <w:rPr>
          <w:sz w:val="22"/>
          <w:szCs w:val="22"/>
        </w:rPr>
        <w:t>Capire come imparare (</w:t>
      </w:r>
      <w:r w:rsidRPr="00AC021C">
        <w:rPr>
          <w:i/>
          <w:sz w:val="22"/>
          <w:szCs w:val="22"/>
        </w:rPr>
        <w:t>Meta-</w:t>
      </w:r>
      <w:proofErr w:type="spellStart"/>
      <w:r w:rsidRPr="00AC021C">
        <w:rPr>
          <w:i/>
          <w:sz w:val="22"/>
          <w:szCs w:val="22"/>
        </w:rPr>
        <w:t>learning</w:t>
      </w:r>
      <w:proofErr w:type="spellEnd"/>
      <w:r w:rsidRPr="00AC021C">
        <w:rPr>
          <w:sz w:val="22"/>
          <w:szCs w:val="22"/>
        </w:rPr>
        <w:t xml:space="preserve">), descrive la consapevolezza che un discente ha sviluppato rispetto ai diversi approcci di apprendere e i </w:t>
      </w:r>
      <w:proofErr w:type="gramStart"/>
      <w:r w:rsidRPr="00AC021C">
        <w:rPr>
          <w:sz w:val="22"/>
          <w:szCs w:val="22"/>
        </w:rPr>
        <w:t>diversi</w:t>
      </w:r>
      <w:proofErr w:type="gramEnd"/>
      <w:r w:rsidRPr="00AC021C">
        <w:rPr>
          <w:sz w:val="22"/>
          <w:szCs w:val="22"/>
        </w:rPr>
        <w:t xml:space="preserve"> stili di apprendimento;</w:t>
      </w:r>
    </w:p>
    <w:p w:rsidR="00AC021C" w:rsidRPr="00AC021C" w:rsidRDefault="00AC021C" w:rsidP="00AC021C">
      <w:pPr>
        <w:numPr>
          <w:ilvl w:val="0"/>
          <w:numId w:val="1"/>
        </w:numPr>
        <w:jc w:val="both"/>
        <w:rPr>
          <w:sz w:val="22"/>
          <w:szCs w:val="22"/>
        </w:rPr>
      </w:pPr>
      <w:r w:rsidRPr="00AC021C">
        <w:rPr>
          <w:sz w:val="22"/>
          <w:szCs w:val="22"/>
        </w:rPr>
        <w:t>Valutare l’apprendimento (</w:t>
      </w:r>
      <w:r w:rsidRPr="00AC021C">
        <w:rPr>
          <w:i/>
          <w:sz w:val="22"/>
          <w:szCs w:val="22"/>
        </w:rPr>
        <w:t xml:space="preserve">Self </w:t>
      </w:r>
      <w:proofErr w:type="spellStart"/>
      <w:r w:rsidRPr="00AC021C">
        <w:rPr>
          <w:i/>
          <w:sz w:val="22"/>
          <w:szCs w:val="22"/>
        </w:rPr>
        <w:t>monitoring</w:t>
      </w:r>
      <w:proofErr w:type="spellEnd"/>
      <w:r w:rsidRPr="00AC021C">
        <w:rPr>
          <w:sz w:val="22"/>
          <w:szCs w:val="22"/>
        </w:rPr>
        <w:t xml:space="preserve">), si riferisce all’analisi sistematica di tutti gli aspetti di performance </w:t>
      </w:r>
      <w:proofErr w:type="gramStart"/>
      <w:r w:rsidRPr="00AC021C">
        <w:rPr>
          <w:sz w:val="22"/>
          <w:szCs w:val="22"/>
        </w:rPr>
        <w:t>del</w:t>
      </w:r>
      <w:proofErr w:type="gramEnd"/>
      <w:r w:rsidRPr="00AC021C">
        <w:rPr>
          <w:sz w:val="22"/>
          <w:szCs w:val="22"/>
        </w:rPr>
        <w:t xml:space="preserve"> discente. Rispetto agli obiettivi stabiliti in fase iniziale, i risultati finali possono essere di natura qualitativa, quantitativa o emotiva.</w:t>
      </w:r>
    </w:p>
    <w:p w:rsidR="00AC021C" w:rsidRPr="00AC021C" w:rsidRDefault="00AC021C" w:rsidP="00AC021C">
      <w:pPr>
        <w:jc w:val="both"/>
        <w:rPr>
          <w:sz w:val="22"/>
          <w:szCs w:val="22"/>
        </w:rPr>
      </w:pPr>
    </w:p>
    <w:p w:rsidR="00AC021C" w:rsidRPr="00AC021C" w:rsidRDefault="00AC021C" w:rsidP="00AC021C">
      <w:pPr>
        <w:jc w:val="both"/>
        <w:rPr>
          <w:sz w:val="22"/>
          <w:szCs w:val="22"/>
        </w:rPr>
      </w:pPr>
      <w:r w:rsidRPr="00AC021C">
        <w:rPr>
          <w:sz w:val="22"/>
          <w:szCs w:val="22"/>
        </w:rPr>
        <w:t xml:space="preserve">   Mentre i pilastri qui sotto illustrati sono importanti in ogni processo </w:t>
      </w:r>
      <w:proofErr w:type="gramStart"/>
      <w:r w:rsidRPr="00AC021C">
        <w:rPr>
          <w:sz w:val="22"/>
          <w:szCs w:val="22"/>
        </w:rPr>
        <w:t xml:space="preserve">di </w:t>
      </w:r>
      <w:proofErr w:type="gramEnd"/>
      <w:r w:rsidRPr="00AC021C">
        <w:rPr>
          <w:sz w:val="22"/>
          <w:szCs w:val="22"/>
        </w:rPr>
        <w:t xml:space="preserve">insegnamento e di apprendimento, la caratteristica principale del modello di </w:t>
      </w:r>
      <w:r w:rsidRPr="00AC021C">
        <w:rPr>
          <w:i/>
          <w:sz w:val="22"/>
          <w:szCs w:val="22"/>
        </w:rPr>
        <w:t>Life Long Learning</w:t>
      </w:r>
      <w:r w:rsidRPr="00AC021C">
        <w:rPr>
          <w:sz w:val="22"/>
          <w:szCs w:val="22"/>
        </w:rPr>
        <w:t xml:space="preserve"> è la natura riflessiva dell’intero ciclo di processo.</w:t>
      </w:r>
    </w:p>
    <w:p w:rsidR="00AC021C" w:rsidRPr="00AC021C" w:rsidRDefault="00AC021C" w:rsidP="00AC021C">
      <w:pPr>
        <w:jc w:val="center"/>
        <w:rPr>
          <w:sz w:val="22"/>
          <w:szCs w:val="22"/>
        </w:rPr>
      </w:pPr>
    </w:p>
    <w:p w:rsidR="00AC021C" w:rsidRPr="00AC021C" w:rsidRDefault="00AC021C" w:rsidP="00AC021C">
      <w:pPr>
        <w:rPr>
          <w:sz w:val="22"/>
          <w:szCs w:val="22"/>
        </w:rPr>
      </w:pPr>
    </w:p>
    <w:p w:rsidR="00AC021C" w:rsidRPr="00AC021C" w:rsidRDefault="00AC021C" w:rsidP="00AC021C">
      <w:pPr>
        <w:rPr>
          <w:rFonts w:ascii="Arial" w:hAnsi="Arial" w:cs="Arial"/>
          <w:b/>
          <w:sz w:val="20"/>
          <w:szCs w:val="20"/>
        </w:rPr>
      </w:pPr>
      <w:r w:rsidRPr="00AC021C">
        <w:rPr>
          <w:rFonts w:ascii="Arial" w:hAnsi="Arial" w:cs="Arial"/>
          <w:b/>
          <w:sz w:val="20"/>
          <w:szCs w:val="20"/>
        </w:rPr>
        <w:t xml:space="preserve">Fig. n. </w:t>
      </w:r>
      <w:r>
        <w:rPr>
          <w:rFonts w:ascii="Arial" w:hAnsi="Arial" w:cs="Arial"/>
          <w:b/>
          <w:sz w:val="20"/>
          <w:szCs w:val="20"/>
        </w:rPr>
        <w:t>1</w:t>
      </w:r>
      <w:bookmarkStart w:id="0" w:name="_GoBack"/>
      <w:bookmarkEnd w:id="0"/>
      <w:r w:rsidRPr="00AC021C">
        <w:rPr>
          <w:rFonts w:ascii="Arial" w:hAnsi="Arial" w:cs="Arial"/>
          <w:b/>
          <w:sz w:val="20"/>
          <w:szCs w:val="20"/>
        </w:rPr>
        <w:t xml:space="preserve"> - Il ciclo di processo del modello Life Long Learning</w:t>
      </w:r>
    </w:p>
    <w:p w:rsidR="00AC021C" w:rsidRPr="00AC021C" w:rsidRDefault="00AC021C" w:rsidP="00AC021C">
      <w:pPr>
        <w:jc w:val="both"/>
        <w:rPr>
          <w:sz w:val="22"/>
          <w:szCs w:val="22"/>
        </w:rPr>
      </w:pPr>
      <w:r w:rsidRPr="00AC021C">
        <w:rPr>
          <w:noProof/>
        </w:rPr>
        <w:drawing>
          <wp:inline distT="0" distB="0" distL="0" distR="0" wp14:anchorId="7251D73E" wp14:editId="48BB5C49">
            <wp:extent cx="4521200" cy="2684145"/>
            <wp:effectExtent l="0" t="0" r="0" b="8255"/>
            <wp:docPr id="21" name="Immagine 30" descr="Descrizione: 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0" descr="Descrizione: Fig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0" cy="268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21C" w:rsidRDefault="00AC021C" w:rsidP="00AC021C">
      <w:r>
        <w:separator/>
      </w:r>
    </w:p>
  </w:endnote>
  <w:endnote w:type="continuationSeparator" w:id="0">
    <w:p w:rsidR="00AC021C" w:rsidRDefault="00AC021C" w:rsidP="00AC0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21C" w:rsidRDefault="00AC021C" w:rsidP="00AC021C">
      <w:r>
        <w:separator/>
      </w:r>
    </w:p>
  </w:footnote>
  <w:footnote w:type="continuationSeparator" w:id="0">
    <w:p w:rsidR="00AC021C" w:rsidRDefault="00AC021C" w:rsidP="00AC021C">
      <w:r>
        <w:continuationSeparator/>
      </w:r>
    </w:p>
  </w:footnote>
  <w:footnote w:id="1">
    <w:p w:rsidR="00AC021C" w:rsidRPr="000B50BA" w:rsidRDefault="00AC021C" w:rsidP="00AC021C">
      <w:pPr>
        <w:pStyle w:val="Testonotaapidipagina"/>
      </w:pPr>
      <w:r>
        <w:rPr>
          <w:rStyle w:val="Rimandonotaapidipagina"/>
        </w:rPr>
        <w:footnoteRef/>
      </w:r>
      <w:r>
        <w:t xml:space="preserve"> Fonte: sito </w:t>
      </w:r>
      <w:hyperlink r:id="rId1" w:history="1">
        <w:r w:rsidRPr="00B268BC">
          <w:rPr>
            <w:rStyle w:val="Collegamentoipertestuale"/>
          </w:rPr>
          <w:t>http://www.foreda.it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60654"/>
    <w:multiLevelType w:val="hybridMultilevel"/>
    <w:tmpl w:val="F8022D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21C"/>
    <w:rsid w:val="007E2BA9"/>
    <w:rsid w:val="00AC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021C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AC021C"/>
    <w:rPr>
      <w:b/>
      <w:bCs/>
    </w:rPr>
  </w:style>
  <w:style w:type="character" w:styleId="Collegamentoipertestuale">
    <w:name w:val="Hyperlink"/>
    <w:rsid w:val="00AC021C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AC021C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2,stile 1 Carattere Carattere Carattere Carattere1,stile 1 Carattere Carattere1"/>
    <w:basedOn w:val="Caratterepredefinitoparagrafo"/>
    <w:link w:val="Testonotaapidipagina"/>
    <w:rsid w:val="00AC021C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AC021C"/>
    <w:rPr>
      <w:vertAlign w:val="superscript"/>
    </w:rPr>
  </w:style>
  <w:style w:type="character" w:styleId="Enfasicorsivo">
    <w:name w:val="Emphasis"/>
    <w:qFormat/>
    <w:rsid w:val="00AC021C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021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C021C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021C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uiPriority w:val="22"/>
    <w:qFormat/>
    <w:rsid w:val="00AC021C"/>
    <w:rPr>
      <w:b/>
      <w:bCs/>
    </w:rPr>
  </w:style>
  <w:style w:type="character" w:styleId="Collegamentoipertestuale">
    <w:name w:val="Hyperlink"/>
    <w:rsid w:val="00AC021C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AC021C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2,stile 1 Carattere Carattere Carattere Carattere1,stile 1 Carattere Carattere1"/>
    <w:basedOn w:val="Caratterepredefinitoparagrafo"/>
    <w:link w:val="Testonotaapidipagina"/>
    <w:rsid w:val="00AC021C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AC021C"/>
    <w:rPr>
      <w:vertAlign w:val="superscript"/>
    </w:rPr>
  </w:style>
  <w:style w:type="character" w:styleId="Enfasicorsivo">
    <w:name w:val="Emphasis"/>
    <w:qFormat/>
    <w:rsid w:val="00AC021C"/>
    <w:rPr>
      <w:i/>
      <w:i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021C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C021C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oreda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1923</Characters>
  <Application>Microsoft Macintosh Word</Application>
  <DocSecurity>0</DocSecurity>
  <Lines>16</Lines>
  <Paragraphs>4</Paragraphs>
  <ScaleCrop>false</ScaleCrop>
  <Company/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2015-10-29T09:49:00Z</dcterms:created>
  <dcterms:modified xsi:type="dcterms:W3CDTF">2015-10-29T09:49:00Z</dcterms:modified>
</cp:coreProperties>
</file>