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6125E9" w14:textId="77777777" w:rsidR="0032297C" w:rsidRDefault="0032297C" w:rsidP="0032297C">
      <w:pPr>
        <w:spacing w:line="260" w:lineRule="exact"/>
        <w:ind w:left="360"/>
        <w:jc w:val="right"/>
        <w:rPr>
          <w:sz w:val="20"/>
          <w:szCs w:val="20"/>
        </w:rPr>
      </w:pPr>
      <w:r>
        <w:rPr>
          <w:sz w:val="20"/>
          <w:szCs w:val="20"/>
        </w:rPr>
        <w:t xml:space="preserve">                    </w:t>
      </w:r>
      <w:r w:rsidRPr="00082E7D">
        <w:rPr>
          <w:sz w:val="20"/>
          <w:szCs w:val="20"/>
        </w:rPr>
        <w:t xml:space="preserve"> “Spesso la differenza tra il successo e l’</w:t>
      </w:r>
      <w:r>
        <w:rPr>
          <w:sz w:val="20"/>
          <w:szCs w:val="20"/>
        </w:rPr>
        <w:t xml:space="preserve">insuccesso  </w:t>
      </w:r>
      <w:r w:rsidRPr="00082E7D">
        <w:rPr>
          <w:sz w:val="20"/>
          <w:szCs w:val="20"/>
        </w:rPr>
        <w:t xml:space="preserve">consiste nella capacità di coinvolgere </w:t>
      </w:r>
    </w:p>
    <w:p w14:paraId="60F8303D" w14:textId="77777777" w:rsidR="0032297C" w:rsidRPr="00082E7D" w:rsidRDefault="0032297C" w:rsidP="0032297C">
      <w:pPr>
        <w:spacing w:line="260" w:lineRule="exact"/>
        <w:ind w:left="360"/>
        <w:jc w:val="right"/>
        <w:rPr>
          <w:sz w:val="20"/>
          <w:szCs w:val="20"/>
        </w:rPr>
      </w:pPr>
      <w:r>
        <w:rPr>
          <w:sz w:val="20"/>
          <w:szCs w:val="20"/>
        </w:rPr>
        <w:t xml:space="preserve">         </w:t>
      </w:r>
      <w:r w:rsidRPr="00082E7D">
        <w:rPr>
          <w:sz w:val="20"/>
          <w:szCs w:val="20"/>
        </w:rPr>
        <w:t>il cliente in modo appropriato ed emotivo”.</w:t>
      </w:r>
    </w:p>
    <w:p w14:paraId="2C5F70C6" w14:textId="77777777" w:rsidR="0032297C" w:rsidRDefault="0032297C" w:rsidP="0032297C">
      <w:pPr>
        <w:spacing w:line="260" w:lineRule="exact"/>
        <w:ind w:left="360"/>
        <w:jc w:val="right"/>
        <w:rPr>
          <w:i/>
          <w:sz w:val="20"/>
          <w:szCs w:val="20"/>
        </w:rPr>
      </w:pPr>
      <w:r w:rsidRPr="00064172">
        <w:rPr>
          <w:i/>
          <w:sz w:val="20"/>
          <w:szCs w:val="20"/>
        </w:rPr>
        <w:t>Richard Normann</w:t>
      </w:r>
    </w:p>
    <w:p w14:paraId="647622E3" w14:textId="77777777" w:rsidR="0032297C" w:rsidRDefault="0032297C" w:rsidP="0032297C">
      <w:pPr>
        <w:spacing w:line="260" w:lineRule="exact"/>
        <w:ind w:left="360"/>
        <w:jc w:val="both"/>
        <w:rPr>
          <w:sz w:val="22"/>
          <w:szCs w:val="22"/>
        </w:rPr>
      </w:pPr>
    </w:p>
    <w:p w14:paraId="232538D5" w14:textId="77777777" w:rsidR="0032297C" w:rsidRDefault="0032297C" w:rsidP="0032297C">
      <w:pPr>
        <w:spacing w:line="260" w:lineRule="exact"/>
        <w:jc w:val="both"/>
        <w:rPr>
          <w:sz w:val="22"/>
          <w:szCs w:val="22"/>
        </w:rPr>
      </w:pPr>
      <w:r>
        <w:rPr>
          <w:sz w:val="22"/>
          <w:szCs w:val="22"/>
        </w:rPr>
        <w:t xml:space="preserve">    </w:t>
      </w:r>
      <w:r w:rsidRPr="00B133A2">
        <w:rPr>
          <w:sz w:val="22"/>
          <w:szCs w:val="22"/>
        </w:rPr>
        <w:t>Per parlare di Total Quality Management della formazione</w:t>
      </w:r>
      <w:r>
        <w:rPr>
          <w:sz w:val="22"/>
          <w:szCs w:val="22"/>
        </w:rPr>
        <w:t xml:space="preserve">, </w:t>
      </w:r>
      <w:bookmarkStart w:id="0" w:name="_GoBack"/>
      <w:bookmarkEnd w:id="0"/>
      <w:r>
        <w:rPr>
          <w:sz w:val="22"/>
          <w:szCs w:val="22"/>
        </w:rPr>
        <w:t>dobbiamo essere in grado di vivere la formazione come un servizio, analizzato nell’ottica di processo. Citando Erika Leonardi nel suo libro “Ricostruire e vivere il processo per la qualità in azienda”</w:t>
      </w:r>
      <w:r>
        <w:rPr>
          <w:rStyle w:val="Rimandonotaapidipagina"/>
          <w:sz w:val="22"/>
          <w:szCs w:val="22"/>
        </w:rPr>
        <w:footnoteReference w:id="1"/>
      </w:r>
      <w:r>
        <w:rPr>
          <w:sz w:val="22"/>
          <w:szCs w:val="22"/>
        </w:rPr>
        <w:t xml:space="preserve">, il servizio può essere analizzato in ottica di processo, se lo consideriamo come ciò che trasforma un input in output, grazie al contributo di persone, attrezzature, etc., in cui il cliente ha un ruolo fondamentale. </w:t>
      </w:r>
    </w:p>
    <w:p w14:paraId="6601F91A" w14:textId="77777777" w:rsidR="0032297C" w:rsidRDefault="0032297C" w:rsidP="0032297C">
      <w:pPr>
        <w:jc w:val="both"/>
        <w:rPr>
          <w:sz w:val="22"/>
          <w:szCs w:val="22"/>
        </w:rPr>
      </w:pPr>
      <w:r>
        <w:rPr>
          <w:sz w:val="22"/>
          <w:szCs w:val="22"/>
        </w:rPr>
        <w:t xml:space="preserve">   </w:t>
      </w:r>
      <w:r w:rsidRPr="003D448B">
        <w:rPr>
          <w:sz w:val="22"/>
          <w:szCs w:val="22"/>
        </w:rPr>
        <w:t>Sappiamo che la formazione è un servizio e in questo libro apprendiamo che che il piano di formazione può essere gestito come un processo; siamo pertanto in grado di poter apprendere come gestire un progetto di formazione, nell’ottica</w:t>
      </w:r>
      <w:r>
        <w:rPr>
          <w:sz w:val="22"/>
          <w:szCs w:val="22"/>
        </w:rPr>
        <w:t xml:space="preserve"> di miglioramento del processo. A tal fine ci sono d’aiuto le teorie del </w:t>
      </w:r>
      <w:r w:rsidRPr="00427B5B">
        <w:rPr>
          <w:i/>
          <w:sz w:val="22"/>
          <w:szCs w:val="22"/>
        </w:rPr>
        <w:t>Total Quality Management</w:t>
      </w:r>
      <w:r>
        <w:rPr>
          <w:sz w:val="22"/>
          <w:szCs w:val="22"/>
        </w:rPr>
        <w:t xml:space="preserve"> ed il </w:t>
      </w:r>
      <w:r w:rsidRPr="00427B5B">
        <w:rPr>
          <w:b/>
          <w:sz w:val="22"/>
          <w:szCs w:val="22"/>
        </w:rPr>
        <w:t>metodo PDCA, Plan, Do, Check and Act</w:t>
      </w:r>
      <w:r>
        <w:rPr>
          <w:sz w:val="22"/>
          <w:szCs w:val="22"/>
        </w:rPr>
        <w:t>.</w:t>
      </w:r>
    </w:p>
    <w:p w14:paraId="74BE3D59" w14:textId="77777777" w:rsidR="0032297C" w:rsidRDefault="0032297C" w:rsidP="009660F6">
      <w:pPr>
        <w:rPr>
          <w:rFonts w:ascii="Arial" w:hAnsi="Arial" w:cs="Arial"/>
          <w:b/>
          <w:sz w:val="20"/>
          <w:szCs w:val="20"/>
        </w:rPr>
      </w:pPr>
    </w:p>
    <w:p w14:paraId="4144768B" w14:textId="77777777" w:rsidR="0032297C" w:rsidRDefault="0032297C" w:rsidP="009660F6">
      <w:pPr>
        <w:rPr>
          <w:rFonts w:ascii="Arial" w:hAnsi="Arial" w:cs="Arial"/>
          <w:b/>
          <w:sz w:val="20"/>
          <w:szCs w:val="20"/>
        </w:rPr>
      </w:pPr>
    </w:p>
    <w:p w14:paraId="7A848C08" w14:textId="77777777" w:rsidR="0032297C" w:rsidRDefault="0032297C" w:rsidP="009660F6">
      <w:pPr>
        <w:rPr>
          <w:rFonts w:ascii="Arial" w:hAnsi="Arial" w:cs="Arial"/>
          <w:b/>
          <w:sz w:val="20"/>
          <w:szCs w:val="20"/>
        </w:rPr>
      </w:pPr>
    </w:p>
    <w:p w14:paraId="49FD116E" w14:textId="77777777" w:rsidR="009660F6" w:rsidRPr="009660F6" w:rsidRDefault="0032297C" w:rsidP="009660F6">
      <w:pPr>
        <w:rPr>
          <w:rFonts w:ascii="Arial" w:hAnsi="Arial" w:cs="Arial"/>
          <w:b/>
          <w:sz w:val="20"/>
          <w:szCs w:val="20"/>
        </w:rPr>
      </w:pPr>
      <w:r>
        <w:rPr>
          <w:rFonts w:ascii="Arial" w:hAnsi="Arial" w:cs="Arial"/>
          <w:b/>
          <w:sz w:val="20"/>
          <w:szCs w:val="20"/>
        </w:rPr>
        <w:t xml:space="preserve">Fig.n. 1 - </w:t>
      </w:r>
      <w:r w:rsidR="009660F6" w:rsidRPr="009660F6">
        <w:rPr>
          <w:rFonts w:ascii="Arial" w:hAnsi="Arial" w:cs="Arial"/>
          <w:b/>
          <w:sz w:val="20"/>
          <w:szCs w:val="20"/>
        </w:rPr>
        <w:t>Il metodo PDCA</w:t>
      </w:r>
    </w:p>
    <w:p w14:paraId="0C9292FD" w14:textId="77777777" w:rsidR="009660F6" w:rsidRPr="009660F6" w:rsidRDefault="009660F6" w:rsidP="009660F6">
      <w:pPr>
        <w:jc w:val="center"/>
        <w:rPr>
          <w:sz w:val="22"/>
          <w:szCs w:val="22"/>
        </w:rPr>
      </w:pPr>
      <w:r w:rsidRPr="009660F6">
        <w:rPr>
          <w:noProof/>
          <w:sz w:val="22"/>
          <w:szCs w:val="22"/>
        </w:rPr>
        <w:drawing>
          <wp:inline distT="0" distB="0" distL="0" distR="0" wp14:anchorId="24327D9E" wp14:editId="4009E84C">
            <wp:extent cx="2514600" cy="2209800"/>
            <wp:effectExtent l="0" t="0" r="0" b="0"/>
            <wp:docPr id="42"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2209800"/>
                    </a:xfrm>
                    <a:prstGeom prst="rect">
                      <a:avLst/>
                    </a:prstGeom>
                    <a:noFill/>
                    <a:ln>
                      <a:noFill/>
                    </a:ln>
                  </pic:spPr>
                </pic:pic>
              </a:graphicData>
            </a:graphic>
          </wp:inline>
        </w:drawing>
      </w:r>
    </w:p>
    <w:p w14:paraId="6E1DA835" w14:textId="77777777" w:rsidR="009660F6" w:rsidRPr="009660F6" w:rsidRDefault="009660F6" w:rsidP="009660F6">
      <w:pPr>
        <w:jc w:val="both"/>
        <w:rPr>
          <w:sz w:val="22"/>
          <w:szCs w:val="22"/>
        </w:rPr>
      </w:pPr>
    </w:p>
    <w:p w14:paraId="02CAF138" w14:textId="77777777" w:rsidR="009660F6" w:rsidRPr="009660F6" w:rsidRDefault="009660F6" w:rsidP="009660F6">
      <w:pPr>
        <w:jc w:val="both"/>
        <w:rPr>
          <w:sz w:val="22"/>
          <w:szCs w:val="22"/>
        </w:rPr>
      </w:pPr>
      <w:r w:rsidRPr="009660F6">
        <w:rPr>
          <w:sz w:val="22"/>
          <w:szCs w:val="22"/>
        </w:rPr>
        <w:t xml:space="preserve">   Tale metodo ci insegna a:</w:t>
      </w:r>
    </w:p>
    <w:p w14:paraId="3E949D7A" w14:textId="77777777" w:rsidR="009660F6" w:rsidRPr="009660F6" w:rsidRDefault="009660F6" w:rsidP="009660F6">
      <w:pPr>
        <w:jc w:val="both"/>
        <w:rPr>
          <w:sz w:val="22"/>
          <w:szCs w:val="22"/>
        </w:rPr>
      </w:pPr>
    </w:p>
    <w:p w14:paraId="666A2AA3" w14:textId="77777777" w:rsidR="009660F6" w:rsidRPr="009660F6" w:rsidRDefault="009660F6" w:rsidP="009660F6">
      <w:pPr>
        <w:numPr>
          <w:ilvl w:val="0"/>
          <w:numId w:val="1"/>
        </w:numPr>
        <w:jc w:val="both"/>
        <w:rPr>
          <w:sz w:val="22"/>
          <w:szCs w:val="22"/>
        </w:rPr>
      </w:pPr>
      <w:r w:rsidRPr="009660F6">
        <w:rPr>
          <w:b/>
          <w:sz w:val="22"/>
          <w:szCs w:val="22"/>
        </w:rPr>
        <w:t>Pianificare (Plan)</w:t>
      </w:r>
      <w:r w:rsidRPr="009660F6">
        <w:rPr>
          <w:sz w:val="22"/>
          <w:szCs w:val="22"/>
        </w:rPr>
        <w:t>, ad avere chiari gli obiettivi, a disporre delle risorse, a definire i tempi;</w:t>
      </w:r>
    </w:p>
    <w:p w14:paraId="11F28D7A" w14:textId="77777777" w:rsidR="009660F6" w:rsidRPr="009660F6" w:rsidRDefault="009660F6" w:rsidP="009660F6">
      <w:pPr>
        <w:numPr>
          <w:ilvl w:val="0"/>
          <w:numId w:val="1"/>
        </w:numPr>
        <w:jc w:val="both"/>
        <w:rPr>
          <w:sz w:val="22"/>
          <w:szCs w:val="22"/>
        </w:rPr>
      </w:pPr>
      <w:r w:rsidRPr="009660F6">
        <w:rPr>
          <w:b/>
          <w:sz w:val="22"/>
          <w:szCs w:val="22"/>
        </w:rPr>
        <w:t xml:space="preserve">Fare (Do), </w:t>
      </w:r>
      <w:r w:rsidRPr="009660F6">
        <w:rPr>
          <w:sz w:val="22"/>
          <w:szCs w:val="22"/>
        </w:rPr>
        <w:t>quanto e ciò pianificato;</w:t>
      </w:r>
    </w:p>
    <w:p w14:paraId="212A4821" w14:textId="77777777" w:rsidR="009660F6" w:rsidRPr="009660F6" w:rsidRDefault="009660F6" w:rsidP="009660F6">
      <w:pPr>
        <w:numPr>
          <w:ilvl w:val="0"/>
          <w:numId w:val="1"/>
        </w:numPr>
        <w:jc w:val="both"/>
        <w:rPr>
          <w:sz w:val="22"/>
          <w:szCs w:val="22"/>
        </w:rPr>
      </w:pPr>
      <w:r w:rsidRPr="009660F6">
        <w:rPr>
          <w:b/>
          <w:sz w:val="22"/>
          <w:szCs w:val="22"/>
        </w:rPr>
        <w:t xml:space="preserve">Controllare (Check), </w:t>
      </w:r>
      <w:r w:rsidRPr="009660F6">
        <w:rPr>
          <w:sz w:val="22"/>
          <w:szCs w:val="22"/>
        </w:rPr>
        <w:t>il risultato ottenuto, se abbiamo raggiunto al soddisfazione del cliente (obiettivo di efficacia), se abbiamo utilizzato al meglio le risorse (obiettivo di efficienza);</w:t>
      </w:r>
    </w:p>
    <w:p w14:paraId="6E1DE66A" w14:textId="77777777" w:rsidR="009660F6" w:rsidRPr="009660F6" w:rsidRDefault="009660F6" w:rsidP="009660F6">
      <w:pPr>
        <w:numPr>
          <w:ilvl w:val="0"/>
          <w:numId w:val="1"/>
        </w:numPr>
        <w:jc w:val="both"/>
        <w:rPr>
          <w:sz w:val="22"/>
          <w:szCs w:val="22"/>
        </w:rPr>
      </w:pPr>
      <w:r w:rsidRPr="009660F6">
        <w:rPr>
          <w:b/>
          <w:sz w:val="22"/>
          <w:szCs w:val="22"/>
        </w:rPr>
        <w:t xml:space="preserve">Agire (Act), </w:t>
      </w:r>
      <w:r w:rsidRPr="009660F6">
        <w:rPr>
          <w:sz w:val="22"/>
          <w:szCs w:val="22"/>
        </w:rPr>
        <w:t>se il risultato è corretto, può essere sempre passibile di miglioramento, se al contrario non lo è, possiamo verificare dove sia l’errore, se nella pianificazione o nell’esecuzione del processo.</w:t>
      </w:r>
    </w:p>
    <w:p w14:paraId="0C1D54D7" w14:textId="77777777" w:rsidR="009660F6" w:rsidRPr="009660F6" w:rsidRDefault="009660F6" w:rsidP="009660F6">
      <w:pPr>
        <w:ind w:left="360"/>
        <w:jc w:val="both"/>
        <w:rPr>
          <w:sz w:val="22"/>
          <w:szCs w:val="22"/>
        </w:rPr>
      </w:pPr>
    </w:p>
    <w:p w14:paraId="5C4C77F9" w14:textId="77777777" w:rsidR="009660F6" w:rsidRDefault="009660F6" w:rsidP="009660F6">
      <w:pPr>
        <w:jc w:val="both"/>
        <w:rPr>
          <w:sz w:val="22"/>
          <w:szCs w:val="22"/>
        </w:rPr>
      </w:pPr>
      <w:r w:rsidRPr="009660F6">
        <w:rPr>
          <w:sz w:val="22"/>
          <w:szCs w:val="22"/>
        </w:rPr>
        <w:t xml:space="preserve">   Questo metodo ci insegna fondamentalmente a non buttarci subito nel fare le cose, ma a pensarle e pianificarle prima e a verificare il lavoro svolto a posteriori.</w:t>
      </w:r>
      <w:r>
        <w:rPr>
          <w:sz w:val="22"/>
          <w:szCs w:val="22"/>
        </w:rPr>
        <w:t xml:space="preserve"> </w:t>
      </w:r>
    </w:p>
    <w:p w14:paraId="7CA36A50" w14:textId="77777777" w:rsidR="007E2BA9" w:rsidRDefault="007E2BA9"/>
    <w:sectPr w:rsidR="007E2BA9" w:rsidSect="007E2BA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1A7565" w14:textId="77777777" w:rsidR="0032297C" w:rsidRDefault="0032297C" w:rsidP="0032297C">
      <w:r>
        <w:separator/>
      </w:r>
    </w:p>
  </w:endnote>
  <w:endnote w:type="continuationSeparator" w:id="0">
    <w:p w14:paraId="7AE61B8F" w14:textId="77777777" w:rsidR="0032297C" w:rsidRDefault="0032297C" w:rsidP="00322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21738A" w14:textId="77777777" w:rsidR="0032297C" w:rsidRDefault="0032297C" w:rsidP="0032297C">
      <w:r>
        <w:separator/>
      </w:r>
    </w:p>
  </w:footnote>
  <w:footnote w:type="continuationSeparator" w:id="0">
    <w:p w14:paraId="5ABC5F4C" w14:textId="77777777" w:rsidR="0032297C" w:rsidRDefault="0032297C" w:rsidP="0032297C">
      <w:r>
        <w:continuationSeparator/>
      </w:r>
    </w:p>
  </w:footnote>
  <w:footnote w:id="1">
    <w:p w14:paraId="704593DB" w14:textId="77777777" w:rsidR="0032297C" w:rsidRDefault="0032297C" w:rsidP="0032297C">
      <w:pPr>
        <w:pStyle w:val="Testonotaapidipagina"/>
      </w:pPr>
      <w:r>
        <w:rPr>
          <w:rStyle w:val="Rimandonotaapidipagina"/>
        </w:rPr>
        <w:footnoteRef/>
      </w:r>
      <w:r>
        <w:t xml:space="preserve"> Erika Leonardi</w:t>
      </w:r>
      <w:r w:rsidRPr="00471DC9">
        <w:rPr>
          <w:i/>
        </w:rPr>
        <w:t>, Ricostruire e vivere il processo per la qualità in azienda</w:t>
      </w:r>
      <w:r>
        <w:t>, Sperling &amp; Kupfer Editori</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F19EA"/>
    <w:multiLevelType w:val="hybridMultilevel"/>
    <w:tmpl w:val="AD62F850"/>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0F6"/>
    <w:rsid w:val="0032297C"/>
    <w:rsid w:val="007E2BA9"/>
    <w:rsid w:val="009660F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34624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60F6"/>
    <w:rPr>
      <w:rFonts w:ascii="Times New Roman" w:eastAsia="Times New Roman" w:hAnsi="Times New Roman" w:cs="Times New Roman"/>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660F6"/>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9660F6"/>
    <w:rPr>
      <w:rFonts w:ascii="Lucida Grande" w:eastAsia="Times New Roman" w:hAnsi="Lucida Grande" w:cs="Lucida Grande"/>
      <w:sz w:val="18"/>
      <w:szCs w:val="18"/>
    </w:rPr>
  </w:style>
  <w:style w:type="character" w:styleId="Collegamentoipertestuale">
    <w:name w:val="Hyperlink"/>
    <w:rsid w:val="0032297C"/>
    <w:rPr>
      <w:color w:val="0000FF"/>
      <w:u w:val="single"/>
    </w:rPr>
  </w:style>
  <w:style w:type="paragraph" w:styleId="Testonotaapidipagina">
    <w:name w:val="footnote text"/>
    <w:aliases w:val="stile 1,stile 1 Carattere Carattere Carattere,stile 1 Carattere"/>
    <w:basedOn w:val="Normale"/>
    <w:link w:val="TestonotaapidipaginaCarattere"/>
    <w:rsid w:val="0032297C"/>
    <w:rPr>
      <w:sz w:val="20"/>
      <w:szCs w:val="20"/>
    </w:rPr>
  </w:style>
  <w:style w:type="character" w:customStyle="1" w:styleId="TestonotaapidipaginaCarattere">
    <w:name w:val="Testo nota a piè di pagina Carattere"/>
    <w:aliases w:val="stile 1 Carattere2,stile 1 Carattere Carattere Carattere Carattere1,stile 1 Carattere Carattere1"/>
    <w:basedOn w:val="Caratterepredefinitoparagrafo"/>
    <w:link w:val="Testonotaapidipagina"/>
    <w:rsid w:val="0032297C"/>
    <w:rPr>
      <w:rFonts w:ascii="Times New Roman" w:eastAsia="Times New Roman" w:hAnsi="Times New Roman" w:cs="Times New Roman"/>
      <w:sz w:val="20"/>
      <w:szCs w:val="20"/>
    </w:rPr>
  </w:style>
  <w:style w:type="character" w:styleId="Rimandonotaapidipagina">
    <w:name w:val="footnote reference"/>
    <w:rsid w:val="0032297C"/>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660F6"/>
    <w:rPr>
      <w:rFonts w:ascii="Times New Roman" w:eastAsia="Times New Roman" w:hAnsi="Times New Roman" w:cs="Times New Roman"/>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9660F6"/>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9660F6"/>
    <w:rPr>
      <w:rFonts w:ascii="Lucida Grande" w:eastAsia="Times New Roman" w:hAnsi="Lucida Grande" w:cs="Lucida Grande"/>
      <w:sz w:val="18"/>
      <w:szCs w:val="18"/>
    </w:rPr>
  </w:style>
  <w:style w:type="character" w:styleId="Collegamentoipertestuale">
    <w:name w:val="Hyperlink"/>
    <w:rsid w:val="0032297C"/>
    <w:rPr>
      <w:color w:val="0000FF"/>
      <w:u w:val="single"/>
    </w:rPr>
  </w:style>
  <w:style w:type="paragraph" w:styleId="Testonotaapidipagina">
    <w:name w:val="footnote text"/>
    <w:aliases w:val="stile 1,stile 1 Carattere Carattere Carattere,stile 1 Carattere"/>
    <w:basedOn w:val="Normale"/>
    <w:link w:val="TestonotaapidipaginaCarattere"/>
    <w:rsid w:val="0032297C"/>
    <w:rPr>
      <w:sz w:val="20"/>
      <w:szCs w:val="20"/>
    </w:rPr>
  </w:style>
  <w:style w:type="character" w:customStyle="1" w:styleId="TestonotaapidipaginaCarattere">
    <w:name w:val="Testo nota a piè di pagina Carattere"/>
    <w:aliases w:val="stile 1 Carattere2,stile 1 Carattere Carattere Carattere Carattere1,stile 1 Carattere Carattere1"/>
    <w:basedOn w:val="Caratterepredefinitoparagrafo"/>
    <w:link w:val="Testonotaapidipagina"/>
    <w:rsid w:val="0032297C"/>
    <w:rPr>
      <w:rFonts w:ascii="Times New Roman" w:eastAsia="Times New Roman" w:hAnsi="Times New Roman" w:cs="Times New Roman"/>
      <w:sz w:val="20"/>
      <w:szCs w:val="20"/>
    </w:rPr>
  </w:style>
  <w:style w:type="character" w:styleId="Rimandonotaapidipagina">
    <w:name w:val="footnote reference"/>
    <w:rsid w:val="003229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1539</Characters>
  <Application>Microsoft Macintosh Word</Application>
  <DocSecurity>0</DocSecurity>
  <Lines>12</Lines>
  <Paragraphs>3</Paragraphs>
  <ScaleCrop>false</ScaleCrop>
  <Company/>
  <LinksUpToDate>false</LinksUpToDate>
  <CharactersWithSpaces>1806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Faggin</dc:creator>
  <cp:keywords/>
  <dc:description/>
  <cp:lastModifiedBy>Anna Faggin</cp:lastModifiedBy>
  <cp:revision>2</cp:revision>
  <dcterms:created xsi:type="dcterms:W3CDTF">2015-10-29T16:45:00Z</dcterms:created>
  <dcterms:modified xsi:type="dcterms:W3CDTF">2015-10-29T16:48:00Z</dcterms:modified>
</cp:coreProperties>
</file>