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3B1904" w14:textId="77777777" w:rsidR="00AA0E8B" w:rsidRDefault="00AA0E8B" w:rsidP="00AA0E8B">
      <w:pPr>
        <w:rPr>
          <w:rFonts w:ascii="Arial" w:hAnsi="Arial" w:cs="Arial"/>
          <w:b/>
          <w:sz w:val="28"/>
          <w:szCs w:val="28"/>
        </w:rPr>
      </w:pPr>
      <w:r>
        <w:rPr>
          <w:rFonts w:ascii="Arial" w:hAnsi="Arial" w:cs="Arial"/>
          <w:b/>
          <w:sz w:val="28"/>
          <w:szCs w:val="28"/>
        </w:rPr>
        <w:t>1.</w:t>
      </w:r>
      <w:r w:rsidRPr="00D03C73">
        <w:rPr>
          <w:rFonts w:ascii="Arial" w:hAnsi="Arial" w:cs="Arial"/>
          <w:b/>
          <w:sz w:val="28"/>
          <w:szCs w:val="28"/>
        </w:rPr>
        <w:t xml:space="preserve"> </w:t>
      </w:r>
      <w:r>
        <w:rPr>
          <w:rFonts w:ascii="Arial" w:hAnsi="Arial" w:cs="Arial"/>
          <w:b/>
          <w:sz w:val="28"/>
          <w:szCs w:val="28"/>
        </w:rPr>
        <w:t>Scenario</w:t>
      </w:r>
      <w:r>
        <w:rPr>
          <w:rFonts w:ascii="Arial" w:hAnsi="Arial" w:cs="Arial"/>
          <w:b/>
          <w:sz w:val="28"/>
          <w:szCs w:val="28"/>
        </w:rPr>
        <w:fldChar w:fldCharType="begin"/>
      </w:r>
      <w:r>
        <w:instrText xml:space="preserve"> XE "</w:instrText>
      </w:r>
      <w:r>
        <w:rPr>
          <w:rFonts w:ascii="Arial" w:hAnsi="Arial" w:cs="Arial"/>
          <w:b/>
          <w:sz w:val="28"/>
          <w:szCs w:val="28"/>
        </w:rPr>
        <w:instrText>1.</w:instrText>
      </w:r>
      <w:r w:rsidRPr="00D03C73">
        <w:rPr>
          <w:rFonts w:ascii="Arial" w:hAnsi="Arial" w:cs="Arial"/>
          <w:b/>
          <w:sz w:val="28"/>
          <w:szCs w:val="28"/>
        </w:rPr>
        <w:instrText xml:space="preserve"> </w:instrText>
      </w:r>
      <w:r>
        <w:rPr>
          <w:rFonts w:ascii="Arial" w:hAnsi="Arial" w:cs="Arial"/>
          <w:b/>
          <w:sz w:val="28"/>
          <w:szCs w:val="28"/>
        </w:rPr>
        <w:instrText>Scenario</w:instrText>
      </w:r>
      <w:r>
        <w:instrText xml:space="preserve">" </w:instrText>
      </w:r>
      <w:r>
        <w:rPr>
          <w:rFonts w:ascii="Arial" w:hAnsi="Arial" w:cs="Arial"/>
          <w:b/>
          <w:sz w:val="28"/>
          <w:szCs w:val="28"/>
        </w:rPr>
        <w:fldChar w:fldCharType="end"/>
      </w:r>
      <w:r>
        <w:rPr>
          <w:rFonts w:ascii="Arial" w:hAnsi="Arial" w:cs="Arial"/>
          <w:b/>
          <w:sz w:val="28"/>
          <w:szCs w:val="28"/>
        </w:rPr>
        <w:t xml:space="preserve"> </w:t>
      </w:r>
    </w:p>
    <w:p w14:paraId="053B9C01" w14:textId="77777777" w:rsidR="00AA0E8B" w:rsidRDefault="00AA0E8B" w:rsidP="00AA0E8B">
      <w:pPr>
        <w:rPr>
          <w:rFonts w:ascii="Arial" w:hAnsi="Arial" w:cs="Arial"/>
        </w:rPr>
      </w:pPr>
    </w:p>
    <w:p w14:paraId="5ADC74E7" w14:textId="77777777" w:rsidR="00AA0E8B" w:rsidRDefault="00AA0E8B" w:rsidP="00AA0E8B">
      <w:pPr>
        <w:rPr>
          <w:rFonts w:ascii="Arial" w:hAnsi="Arial" w:cs="Arial"/>
        </w:rPr>
      </w:pPr>
    </w:p>
    <w:p w14:paraId="567DB801" w14:textId="77777777" w:rsidR="00AA0E8B" w:rsidRDefault="00AA0E8B" w:rsidP="00AA0E8B">
      <w:pPr>
        <w:rPr>
          <w:rFonts w:ascii="Arial" w:hAnsi="Arial" w:cs="Arial"/>
        </w:rPr>
      </w:pPr>
    </w:p>
    <w:p w14:paraId="3008E265" w14:textId="77777777" w:rsidR="00AA0E8B" w:rsidRDefault="00AA0E8B" w:rsidP="00AA0E8B">
      <w:pPr>
        <w:rPr>
          <w:rFonts w:ascii="Arial" w:hAnsi="Arial" w:cs="Arial"/>
        </w:rPr>
      </w:pPr>
    </w:p>
    <w:p w14:paraId="5FE202F9" w14:textId="77777777" w:rsidR="00AA0E8B" w:rsidRDefault="00AA0E8B" w:rsidP="00AA0E8B">
      <w:pPr>
        <w:rPr>
          <w:rFonts w:ascii="Arial" w:hAnsi="Arial" w:cs="Arial"/>
        </w:rPr>
      </w:pPr>
    </w:p>
    <w:p w14:paraId="7C98F2D4" w14:textId="77777777" w:rsidR="00AA0E8B" w:rsidRDefault="00AA0E8B" w:rsidP="00AA0E8B">
      <w:pPr>
        <w:rPr>
          <w:rFonts w:ascii="Arial" w:hAnsi="Arial" w:cs="Arial"/>
        </w:rPr>
      </w:pPr>
    </w:p>
    <w:p w14:paraId="12A8B032" w14:textId="77777777" w:rsidR="00AA0E8B" w:rsidRDefault="00AA0E8B" w:rsidP="00AA0E8B">
      <w:pPr>
        <w:rPr>
          <w:rFonts w:ascii="Arial" w:hAnsi="Arial" w:cs="Arial"/>
        </w:rPr>
      </w:pPr>
    </w:p>
    <w:p w14:paraId="6C7C2755" w14:textId="77777777" w:rsidR="00AA0E8B" w:rsidRDefault="00AA0E8B" w:rsidP="00AA0E8B">
      <w:pPr>
        <w:rPr>
          <w:rFonts w:ascii="Arial" w:hAnsi="Arial" w:cs="Arial"/>
        </w:rPr>
      </w:pPr>
    </w:p>
    <w:p w14:paraId="71FDD86B" w14:textId="77777777" w:rsidR="00AA0E8B" w:rsidRDefault="00AA0E8B" w:rsidP="00AA0E8B">
      <w:pPr>
        <w:rPr>
          <w:rFonts w:ascii="Arial" w:hAnsi="Arial" w:cs="Arial"/>
        </w:rPr>
      </w:pPr>
    </w:p>
    <w:p w14:paraId="32647A7B" w14:textId="77777777" w:rsidR="00AA0E8B" w:rsidRPr="00D03C73" w:rsidRDefault="00AA0E8B" w:rsidP="00AA0E8B">
      <w:pPr>
        <w:rPr>
          <w:rFonts w:ascii="Arial" w:hAnsi="Arial" w:cs="Arial"/>
          <w:b/>
        </w:rPr>
      </w:pPr>
    </w:p>
    <w:p w14:paraId="53BB9307" w14:textId="77777777" w:rsidR="00AA0E8B" w:rsidRDefault="00AA0E8B" w:rsidP="00AA0E8B">
      <w:pPr>
        <w:autoSpaceDE w:val="0"/>
        <w:autoSpaceDN w:val="0"/>
        <w:adjustRightInd w:val="0"/>
        <w:jc w:val="both"/>
        <w:rPr>
          <w:rFonts w:ascii="Arial" w:hAnsi="Arial" w:cs="Arial"/>
          <w:b/>
        </w:rPr>
      </w:pPr>
      <w:r w:rsidRPr="00803FC1">
        <w:rPr>
          <w:rFonts w:ascii="Arial" w:hAnsi="Arial" w:cs="Arial"/>
          <w:b/>
        </w:rPr>
        <w:t>1. Mercato</w:t>
      </w:r>
      <w:r>
        <w:rPr>
          <w:rFonts w:ascii="Arial" w:hAnsi="Arial" w:cs="Arial"/>
          <w:b/>
        </w:rPr>
        <w:fldChar w:fldCharType="begin"/>
      </w:r>
      <w:r>
        <w:instrText xml:space="preserve"> XE "</w:instrText>
      </w:r>
      <w:r w:rsidRPr="00803FC1">
        <w:rPr>
          <w:rFonts w:ascii="Arial" w:hAnsi="Arial" w:cs="Arial"/>
          <w:b/>
        </w:rPr>
        <w:instrText>1. Mercato</w:instrText>
      </w:r>
      <w:r>
        <w:instrText xml:space="preserve">" </w:instrText>
      </w:r>
      <w:r>
        <w:rPr>
          <w:rFonts w:ascii="Arial" w:hAnsi="Arial" w:cs="Arial"/>
          <w:b/>
        </w:rPr>
        <w:fldChar w:fldCharType="end"/>
      </w:r>
    </w:p>
    <w:p w14:paraId="5E046548" w14:textId="77777777" w:rsidR="00AA0E8B" w:rsidRDefault="00AA0E8B" w:rsidP="00AA0E8B">
      <w:pPr>
        <w:autoSpaceDE w:val="0"/>
        <w:autoSpaceDN w:val="0"/>
        <w:adjustRightInd w:val="0"/>
        <w:jc w:val="both"/>
        <w:rPr>
          <w:rFonts w:ascii="Arial" w:hAnsi="Arial" w:cs="Arial"/>
          <w:b/>
        </w:rPr>
      </w:pPr>
    </w:p>
    <w:p w14:paraId="69AE7104" w14:textId="77777777" w:rsidR="00AA0E8B" w:rsidRPr="005E249B" w:rsidRDefault="00AA0E8B" w:rsidP="00AA0E8B">
      <w:pPr>
        <w:autoSpaceDE w:val="0"/>
        <w:autoSpaceDN w:val="0"/>
        <w:adjustRightInd w:val="0"/>
        <w:jc w:val="both"/>
        <w:rPr>
          <w:rFonts w:ascii="Arial" w:hAnsi="Arial" w:cs="Arial"/>
          <w:b/>
        </w:rPr>
      </w:pPr>
    </w:p>
    <w:p w14:paraId="64329BF0" w14:textId="77777777" w:rsidR="00AA0E8B" w:rsidRPr="005E249B" w:rsidRDefault="00AA0E8B" w:rsidP="00AA0E8B">
      <w:pPr>
        <w:spacing w:line="260" w:lineRule="exact"/>
        <w:ind w:firstLine="180"/>
        <w:jc w:val="both"/>
        <w:rPr>
          <w:sz w:val="22"/>
          <w:szCs w:val="22"/>
        </w:rPr>
      </w:pPr>
      <w:r w:rsidRPr="005E249B">
        <w:rPr>
          <w:sz w:val="22"/>
          <w:szCs w:val="22"/>
        </w:rPr>
        <w:t xml:space="preserve">In questi ultimi dieci anni, il </w:t>
      </w:r>
      <w:proofErr w:type="gramStart"/>
      <w:r w:rsidRPr="005E249B">
        <w:rPr>
          <w:sz w:val="22"/>
          <w:szCs w:val="22"/>
        </w:rPr>
        <w:t>contesto</w:t>
      </w:r>
      <w:proofErr w:type="gramEnd"/>
      <w:r w:rsidRPr="005E249B">
        <w:rPr>
          <w:sz w:val="22"/>
          <w:szCs w:val="22"/>
        </w:rPr>
        <w:t xml:space="preserve"> economico-industriale mondiale è cambiato profondamente. Sono nati nuovi prodotti e si sono affermati </w:t>
      </w:r>
      <w:proofErr w:type="gramStart"/>
      <w:r w:rsidRPr="005E249B">
        <w:rPr>
          <w:sz w:val="22"/>
          <w:szCs w:val="22"/>
        </w:rPr>
        <w:t>nuovi</w:t>
      </w:r>
      <w:proofErr w:type="gramEnd"/>
      <w:r w:rsidRPr="005E249B">
        <w:rPr>
          <w:sz w:val="22"/>
          <w:szCs w:val="22"/>
        </w:rPr>
        <w:t xml:space="preserve"> mercati, che hanno portato le imprese a creare delle caten</w:t>
      </w:r>
      <w:r>
        <w:rPr>
          <w:sz w:val="22"/>
          <w:szCs w:val="22"/>
        </w:rPr>
        <w:t>e di fornitura internazionali e</w:t>
      </w:r>
      <w:r w:rsidRPr="005E249B">
        <w:rPr>
          <w:sz w:val="22"/>
          <w:szCs w:val="22"/>
        </w:rPr>
        <w:t xml:space="preserve"> a mischiare le produzioni tra i paesi. </w:t>
      </w:r>
    </w:p>
    <w:p w14:paraId="04953F33" w14:textId="77777777" w:rsidR="00AA0E8B" w:rsidRPr="00F36F78" w:rsidRDefault="00AA0E8B" w:rsidP="00AA0E8B">
      <w:pPr>
        <w:spacing w:line="260" w:lineRule="exact"/>
        <w:jc w:val="both"/>
        <w:rPr>
          <w:iCs/>
          <w:sz w:val="22"/>
          <w:szCs w:val="22"/>
        </w:rPr>
      </w:pPr>
      <w:r w:rsidRPr="005E249B">
        <w:rPr>
          <w:sz w:val="22"/>
          <w:szCs w:val="22"/>
        </w:rPr>
        <w:t xml:space="preserve">Gli attori coinvolti in questo processo pongono attenzione a cosa, in quale luogo, in che modo e per quale target conviene produrre: </w:t>
      </w:r>
      <w:proofErr w:type="gramStart"/>
      <w:r w:rsidRPr="005E249B">
        <w:rPr>
          <w:sz w:val="22"/>
          <w:szCs w:val="22"/>
        </w:rPr>
        <w:t>sono</w:t>
      </w:r>
      <w:proofErr w:type="gramEnd"/>
      <w:r w:rsidRPr="005E249B">
        <w:rPr>
          <w:sz w:val="22"/>
          <w:szCs w:val="22"/>
        </w:rPr>
        <w:t xml:space="preserve"> nate nuove opportunità e sfide competitive. I nuovi mercati di sbocco, sostenuti da un ruolo sempre più importante dei paesi emergenti, sono ormai una realtà in </w:t>
      </w:r>
      <w:r w:rsidRPr="00F36F78">
        <w:rPr>
          <w:iCs/>
          <w:sz w:val="22"/>
          <w:szCs w:val="22"/>
        </w:rPr>
        <w:t>espansione con cui le imprese italiane devono necessari</w:t>
      </w:r>
      <w:r>
        <w:rPr>
          <w:iCs/>
          <w:sz w:val="22"/>
          <w:szCs w:val="22"/>
        </w:rPr>
        <w:t>a</w:t>
      </w:r>
      <w:r w:rsidRPr="00F36F78">
        <w:rPr>
          <w:iCs/>
          <w:sz w:val="22"/>
          <w:szCs w:val="22"/>
        </w:rPr>
        <w:t>mente confrontarsi.</w:t>
      </w:r>
    </w:p>
    <w:p w14:paraId="6CA6486A" w14:textId="77777777" w:rsidR="00AA0E8B" w:rsidRPr="00F36F78" w:rsidRDefault="00AA0E8B" w:rsidP="00AA0E8B">
      <w:pPr>
        <w:spacing w:line="260" w:lineRule="exact"/>
        <w:jc w:val="both"/>
        <w:rPr>
          <w:iCs/>
          <w:sz w:val="22"/>
          <w:szCs w:val="22"/>
        </w:rPr>
      </w:pPr>
      <w:r>
        <w:rPr>
          <w:iCs/>
          <w:sz w:val="22"/>
          <w:szCs w:val="22"/>
        </w:rPr>
        <w:t xml:space="preserve">   </w:t>
      </w:r>
      <w:r w:rsidRPr="00F36F78">
        <w:rPr>
          <w:iCs/>
          <w:sz w:val="22"/>
          <w:szCs w:val="22"/>
        </w:rPr>
        <w:t xml:space="preserve">Nel 1999, gli Stati Uniti rappresentavano il 43% delle più grandi aziende globali </w:t>
      </w:r>
      <w:r>
        <w:rPr>
          <w:iCs/>
          <w:sz w:val="22"/>
          <w:szCs w:val="22"/>
        </w:rPr>
        <w:t>secondo il</w:t>
      </w:r>
      <w:r w:rsidRPr="00F36F78">
        <w:rPr>
          <w:iCs/>
          <w:sz w:val="22"/>
          <w:szCs w:val="22"/>
        </w:rPr>
        <w:t xml:space="preserve"> </w:t>
      </w:r>
      <w:r w:rsidRPr="00F36F78">
        <w:rPr>
          <w:i/>
          <w:iCs/>
          <w:sz w:val="22"/>
          <w:szCs w:val="22"/>
        </w:rPr>
        <w:t>The Financial Times</w:t>
      </w:r>
      <w:r w:rsidRPr="00F36F78">
        <w:rPr>
          <w:iCs/>
          <w:sz w:val="22"/>
          <w:szCs w:val="22"/>
        </w:rPr>
        <w:t xml:space="preserve">, tra le 500 multinazionali più importanti al mondo. Alla fine del 2009, soltanto il 36% delle aziende globali provenivano dagli Stati Uniti, mentre i paesi dell’area BRIC (Brasile, Russia, India e Cina) hanno aumentato la loro quota, passando dalle </w:t>
      </w:r>
      <w:proofErr w:type="gramStart"/>
      <w:r w:rsidRPr="00F36F78">
        <w:rPr>
          <w:iCs/>
          <w:sz w:val="22"/>
          <w:szCs w:val="22"/>
        </w:rPr>
        <w:t>5</w:t>
      </w:r>
      <w:proofErr w:type="gramEnd"/>
      <w:r w:rsidRPr="00F36F78">
        <w:rPr>
          <w:iCs/>
          <w:sz w:val="22"/>
          <w:szCs w:val="22"/>
        </w:rPr>
        <w:t xml:space="preserve"> aziende top nel 1999, a 52 nel 2009. </w:t>
      </w:r>
    </w:p>
    <w:p w14:paraId="4234EFE3" w14:textId="77777777" w:rsidR="00AA0E8B" w:rsidRPr="005E249B" w:rsidRDefault="00AA0E8B" w:rsidP="00AA0E8B">
      <w:pPr>
        <w:autoSpaceDE w:val="0"/>
        <w:autoSpaceDN w:val="0"/>
        <w:adjustRightInd w:val="0"/>
        <w:spacing w:line="260" w:lineRule="exact"/>
        <w:jc w:val="both"/>
        <w:rPr>
          <w:iCs/>
          <w:sz w:val="22"/>
          <w:szCs w:val="22"/>
        </w:rPr>
      </w:pPr>
      <w:r>
        <w:rPr>
          <w:iCs/>
          <w:sz w:val="22"/>
          <w:szCs w:val="22"/>
        </w:rPr>
        <w:t xml:space="preserve">   </w:t>
      </w:r>
      <w:r w:rsidRPr="005E249B">
        <w:rPr>
          <w:iCs/>
          <w:sz w:val="22"/>
          <w:szCs w:val="22"/>
        </w:rPr>
        <w:t xml:space="preserve">L’analisi del Centro Studi di Confindustria evidenzia che l’Italia è tuttora la </w:t>
      </w:r>
      <w:r w:rsidRPr="005E249B">
        <w:rPr>
          <w:bCs/>
          <w:iCs/>
          <w:sz w:val="22"/>
          <w:szCs w:val="22"/>
        </w:rPr>
        <w:t xml:space="preserve">quinta potenza </w:t>
      </w:r>
      <w:r w:rsidRPr="005E249B">
        <w:rPr>
          <w:iCs/>
          <w:sz w:val="22"/>
          <w:szCs w:val="22"/>
        </w:rPr>
        <w:t xml:space="preserve">industriale mondiale (dopo Cina, Stati Uniti, Giappone e Germania), con il 3,9% della produzione manifatturiera globale nel 2009. Questo dato mette in risalto la capacità delle imprese italiane di intraprendere nuove azioni velocemente, per rimanere al passo </w:t>
      </w:r>
      <w:proofErr w:type="gramStart"/>
      <w:r w:rsidRPr="005E249B">
        <w:rPr>
          <w:iCs/>
          <w:sz w:val="22"/>
          <w:szCs w:val="22"/>
        </w:rPr>
        <w:t>coi</w:t>
      </w:r>
      <w:proofErr w:type="gramEnd"/>
      <w:r w:rsidRPr="005E249B">
        <w:rPr>
          <w:iCs/>
          <w:sz w:val="22"/>
          <w:szCs w:val="22"/>
        </w:rPr>
        <w:t xml:space="preserve"> tempi e rivela che l’industria itali</w:t>
      </w:r>
      <w:r>
        <w:rPr>
          <w:iCs/>
          <w:sz w:val="22"/>
          <w:szCs w:val="22"/>
        </w:rPr>
        <w:t>a</w:t>
      </w:r>
      <w:r w:rsidRPr="005E249B">
        <w:rPr>
          <w:iCs/>
          <w:sz w:val="22"/>
          <w:szCs w:val="22"/>
        </w:rPr>
        <w:t xml:space="preserve">na c’è, anche se deve fare i conti con la </w:t>
      </w:r>
      <w:r w:rsidRPr="005E249B">
        <w:rPr>
          <w:bCs/>
          <w:iCs/>
          <w:sz w:val="22"/>
          <w:szCs w:val="22"/>
        </w:rPr>
        <w:t xml:space="preserve">lenta crescita della produzione </w:t>
      </w:r>
      <w:r w:rsidRPr="005E249B">
        <w:rPr>
          <w:iCs/>
          <w:sz w:val="22"/>
          <w:szCs w:val="22"/>
        </w:rPr>
        <w:t xml:space="preserve">che è legata al contesto poco competitivo in cui le imprese operano. </w:t>
      </w:r>
    </w:p>
    <w:p w14:paraId="03E3A82B" w14:textId="77777777" w:rsidR="00AA0E8B" w:rsidRPr="005E249B" w:rsidRDefault="00AA0E8B" w:rsidP="00AA0E8B">
      <w:pPr>
        <w:autoSpaceDE w:val="0"/>
        <w:autoSpaceDN w:val="0"/>
        <w:adjustRightInd w:val="0"/>
        <w:spacing w:line="260" w:lineRule="exact"/>
        <w:jc w:val="both"/>
        <w:rPr>
          <w:iCs/>
          <w:sz w:val="22"/>
          <w:szCs w:val="22"/>
        </w:rPr>
      </w:pPr>
      <w:r>
        <w:rPr>
          <w:iCs/>
          <w:sz w:val="22"/>
          <w:szCs w:val="22"/>
        </w:rPr>
        <w:t xml:space="preserve">   </w:t>
      </w:r>
      <w:r w:rsidRPr="005E249B">
        <w:rPr>
          <w:iCs/>
          <w:sz w:val="22"/>
          <w:szCs w:val="22"/>
        </w:rPr>
        <w:t xml:space="preserve">La </w:t>
      </w:r>
      <w:r w:rsidRPr="005E249B">
        <w:rPr>
          <w:bCs/>
          <w:iCs/>
          <w:sz w:val="22"/>
          <w:szCs w:val="22"/>
        </w:rPr>
        <w:t xml:space="preserve">risposta delle imprese </w:t>
      </w:r>
      <w:r w:rsidRPr="005E249B">
        <w:rPr>
          <w:iCs/>
          <w:sz w:val="22"/>
          <w:szCs w:val="22"/>
        </w:rPr>
        <w:t xml:space="preserve">al cambiamento è stata messa in atto riorganizzando le produzioni, innovando i prodotti, puntando su un più alto valore aggiunto fondato su qualità e servizio, ricorrendo a nuove competenze esterne, mediante l’assunzione di un numero sempre più in aumento di laureati. Infatti, nelle imprese manifatturiere si registra un calo del peso degli operai, dal 65,6% del 2001 al 63,2% nel 2008, </w:t>
      </w:r>
      <w:proofErr w:type="gramStart"/>
      <w:r w:rsidRPr="005E249B">
        <w:rPr>
          <w:iCs/>
          <w:sz w:val="22"/>
          <w:szCs w:val="22"/>
        </w:rPr>
        <w:t>ed</w:t>
      </w:r>
      <w:proofErr w:type="gramEnd"/>
      <w:r w:rsidRPr="005E249B">
        <w:rPr>
          <w:iCs/>
          <w:sz w:val="22"/>
          <w:szCs w:val="22"/>
        </w:rPr>
        <w:t xml:space="preserve"> un aumento degli impiegati (dal 28,5% al 31,1%).</w:t>
      </w:r>
    </w:p>
    <w:p w14:paraId="4FB71EC9" w14:textId="77777777" w:rsidR="00AA0E8B" w:rsidRPr="005E249B" w:rsidRDefault="00AA0E8B" w:rsidP="00AA0E8B">
      <w:pPr>
        <w:autoSpaceDE w:val="0"/>
        <w:autoSpaceDN w:val="0"/>
        <w:adjustRightInd w:val="0"/>
        <w:spacing w:line="260" w:lineRule="exact"/>
        <w:jc w:val="both"/>
        <w:rPr>
          <w:iCs/>
          <w:sz w:val="22"/>
          <w:szCs w:val="22"/>
        </w:rPr>
      </w:pPr>
      <w:r>
        <w:rPr>
          <w:iCs/>
          <w:sz w:val="22"/>
          <w:szCs w:val="22"/>
        </w:rPr>
        <w:t xml:space="preserve">   </w:t>
      </w:r>
      <w:r w:rsidRPr="005E249B">
        <w:rPr>
          <w:iCs/>
          <w:sz w:val="22"/>
          <w:szCs w:val="22"/>
        </w:rPr>
        <w:t>Le nuove regole imposte dalla crisi impo</w:t>
      </w:r>
      <w:r>
        <w:rPr>
          <w:iCs/>
          <w:sz w:val="22"/>
          <w:szCs w:val="22"/>
        </w:rPr>
        <w:t>n</w:t>
      </w:r>
      <w:r w:rsidRPr="005E249B">
        <w:rPr>
          <w:iCs/>
          <w:sz w:val="22"/>
          <w:szCs w:val="22"/>
        </w:rPr>
        <w:t xml:space="preserve">gono alle imprese flessibilità nell’adattarsi ai nuovi mercati, soprattutto </w:t>
      </w:r>
      <w:r>
        <w:rPr>
          <w:iCs/>
          <w:sz w:val="22"/>
          <w:szCs w:val="22"/>
        </w:rPr>
        <w:t xml:space="preserve">a </w:t>
      </w:r>
      <w:r w:rsidRPr="005E249B">
        <w:rPr>
          <w:iCs/>
          <w:sz w:val="22"/>
          <w:szCs w:val="22"/>
        </w:rPr>
        <w:t>q</w:t>
      </w:r>
      <w:r>
        <w:rPr>
          <w:iCs/>
          <w:sz w:val="22"/>
          <w:szCs w:val="22"/>
        </w:rPr>
        <w:t>uello asiatico</w:t>
      </w:r>
      <w:r w:rsidRPr="005E249B">
        <w:rPr>
          <w:iCs/>
          <w:sz w:val="22"/>
          <w:szCs w:val="22"/>
        </w:rPr>
        <w:t xml:space="preserve">, anche perché questi nuovi attori stanno continuando </w:t>
      </w:r>
      <w:proofErr w:type="gramStart"/>
      <w:r w:rsidRPr="005E249B">
        <w:rPr>
          <w:iCs/>
          <w:sz w:val="22"/>
          <w:szCs w:val="22"/>
        </w:rPr>
        <w:t>ad</w:t>
      </w:r>
      <w:proofErr w:type="gramEnd"/>
      <w:r w:rsidRPr="005E249B">
        <w:rPr>
          <w:iCs/>
          <w:sz w:val="22"/>
          <w:szCs w:val="22"/>
        </w:rPr>
        <w:t xml:space="preserve"> operare con intensità. </w:t>
      </w:r>
    </w:p>
    <w:p w14:paraId="3F24E275" w14:textId="77777777" w:rsidR="00AA0E8B" w:rsidRPr="005E249B" w:rsidRDefault="00AA0E8B" w:rsidP="00AA0E8B">
      <w:pPr>
        <w:autoSpaceDE w:val="0"/>
        <w:autoSpaceDN w:val="0"/>
        <w:adjustRightInd w:val="0"/>
        <w:spacing w:line="260" w:lineRule="exact"/>
        <w:jc w:val="both"/>
        <w:rPr>
          <w:iCs/>
          <w:sz w:val="22"/>
          <w:szCs w:val="22"/>
        </w:rPr>
      </w:pPr>
      <w:r>
        <w:rPr>
          <w:iCs/>
          <w:sz w:val="22"/>
          <w:szCs w:val="22"/>
        </w:rPr>
        <w:t xml:space="preserve">   </w:t>
      </w:r>
      <w:r w:rsidRPr="005E249B">
        <w:rPr>
          <w:iCs/>
          <w:sz w:val="22"/>
          <w:szCs w:val="22"/>
        </w:rPr>
        <w:t xml:space="preserve">Le nuove tecnologie e l’emergere di aree con costi nettamente inferiori hanno spinto il cambiamento nei processi produttivi verso una sempre </w:t>
      </w:r>
      <w:r w:rsidRPr="005E249B">
        <w:rPr>
          <w:bCs/>
          <w:iCs/>
          <w:sz w:val="22"/>
          <w:szCs w:val="22"/>
        </w:rPr>
        <w:t>più</w:t>
      </w:r>
      <w:r w:rsidRPr="005E249B">
        <w:rPr>
          <w:iCs/>
          <w:sz w:val="22"/>
          <w:szCs w:val="22"/>
        </w:rPr>
        <w:t xml:space="preserve"> </w:t>
      </w:r>
      <w:r w:rsidRPr="005E249B">
        <w:rPr>
          <w:bCs/>
          <w:iCs/>
          <w:sz w:val="22"/>
          <w:szCs w:val="22"/>
        </w:rPr>
        <w:t>importante frammentazione</w:t>
      </w:r>
      <w:r w:rsidRPr="005E249B">
        <w:rPr>
          <w:iCs/>
          <w:sz w:val="22"/>
          <w:szCs w:val="22"/>
        </w:rPr>
        <w:t xml:space="preserve">. </w:t>
      </w:r>
    </w:p>
    <w:p w14:paraId="05106964" w14:textId="77777777" w:rsidR="00AA0E8B" w:rsidRPr="005E249B" w:rsidRDefault="00AA0E8B" w:rsidP="00AA0E8B">
      <w:pPr>
        <w:spacing w:line="260" w:lineRule="exact"/>
        <w:jc w:val="both"/>
        <w:rPr>
          <w:sz w:val="22"/>
          <w:szCs w:val="22"/>
        </w:rPr>
      </w:pPr>
      <w:r>
        <w:rPr>
          <w:sz w:val="22"/>
          <w:szCs w:val="22"/>
        </w:rPr>
        <w:t xml:space="preserve">   </w:t>
      </w:r>
      <w:r w:rsidRPr="005E249B">
        <w:rPr>
          <w:sz w:val="22"/>
          <w:szCs w:val="22"/>
        </w:rPr>
        <w:t xml:space="preserve">Inutile dire che in questo </w:t>
      </w:r>
      <w:proofErr w:type="gramStart"/>
      <w:r w:rsidRPr="005E249B">
        <w:rPr>
          <w:sz w:val="22"/>
          <w:szCs w:val="22"/>
        </w:rPr>
        <w:t>contesto</w:t>
      </w:r>
      <w:proofErr w:type="gramEnd"/>
      <w:r w:rsidRPr="005E249B">
        <w:rPr>
          <w:sz w:val="22"/>
          <w:szCs w:val="22"/>
        </w:rPr>
        <w:t xml:space="preserve"> </w:t>
      </w:r>
      <w:r w:rsidRPr="00AF3DC4">
        <w:rPr>
          <w:b/>
          <w:sz w:val="22"/>
          <w:szCs w:val="22"/>
        </w:rPr>
        <w:t>fare formazione diventa una sfida</w:t>
      </w:r>
      <w:r w:rsidRPr="005E249B">
        <w:rPr>
          <w:sz w:val="22"/>
          <w:szCs w:val="22"/>
        </w:rPr>
        <w:t>: da un lato emerge la necessità di formare le persone in tante discipline diverse, dall’altro la realtà in cui operiamo si presenta internazionale, globale e a molteplici dimensioni.</w:t>
      </w:r>
    </w:p>
    <w:p w14:paraId="61A7CE5C" w14:textId="77777777" w:rsidR="00AA0E8B" w:rsidRPr="005E249B" w:rsidRDefault="00AA0E8B" w:rsidP="00AA0E8B">
      <w:pPr>
        <w:spacing w:line="260" w:lineRule="exact"/>
        <w:jc w:val="both"/>
        <w:rPr>
          <w:sz w:val="22"/>
          <w:szCs w:val="22"/>
        </w:rPr>
      </w:pPr>
      <w:r>
        <w:rPr>
          <w:sz w:val="22"/>
          <w:szCs w:val="22"/>
        </w:rPr>
        <w:t xml:space="preserve">   </w:t>
      </w:r>
      <w:proofErr w:type="gramStart"/>
      <w:r>
        <w:rPr>
          <w:sz w:val="22"/>
          <w:szCs w:val="22"/>
        </w:rPr>
        <w:t>Risulta</w:t>
      </w:r>
      <w:proofErr w:type="gramEnd"/>
      <w:r w:rsidRPr="005E249B">
        <w:rPr>
          <w:sz w:val="22"/>
          <w:szCs w:val="22"/>
        </w:rPr>
        <w:t xml:space="preserve"> evidente che per sostenere l’economia e l’occupazione delle persone, la formazione professionale sia un elemento fondamentale.</w:t>
      </w:r>
    </w:p>
    <w:p w14:paraId="7DA47FA0" w14:textId="77777777" w:rsidR="00AA0E8B" w:rsidRDefault="00AA0E8B" w:rsidP="00AA0E8B">
      <w:pPr>
        <w:spacing w:line="260" w:lineRule="exact"/>
        <w:jc w:val="both"/>
        <w:rPr>
          <w:sz w:val="22"/>
          <w:szCs w:val="22"/>
        </w:rPr>
      </w:pPr>
      <w:r>
        <w:rPr>
          <w:sz w:val="22"/>
          <w:szCs w:val="22"/>
        </w:rPr>
        <w:t xml:space="preserve">   </w:t>
      </w:r>
      <w:r w:rsidRPr="005E249B">
        <w:rPr>
          <w:sz w:val="22"/>
          <w:szCs w:val="22"/>
        </w:rPr>
        <w:t>Tra le priorità nazionali relative al periodo 2008-2010, vi è stato il pote</w:t>
      </w:r>
      <w:r>
        <w:rPr>
          <w:sz w:val="22"/>
          <w:szCs w:val="22"/>
        </w:rPr>
        <w:t>n</w:t>
      </w:r>
      <w:r w:rsidRPr="005E249B">
        <w:rPr>
          <w:sz w:val="22"/>
          <w:szCs w:val="22"/>
        </w:rPr>
        <w:t xml:space="preserve">ziamento dell'educazione e della formazione del </w:t>
      </w:r>
      <w:proofErr w:type="gramStart"/>
      <w:r w:rsidRPr="005E249B">
        <w:rPr>
          <w:sz w:val="22"/>
          <w:szCs w:val="22"/>
        </w:rPr>
        <w:t>capitalo</w:t>
      </w:r>
      <w:proofErr w:type="gramEnd"/>
      <w:r w:rsidRPr="005E249B">
        <w:rPr>
          <w:sz w:val="22"/>
          <w:szCs w:val="22"/>
        </w:rPr>
        <w:t xml:space="preserve"> umano. A tal proposito, il decreto n. 78 </w:t>
      </w:r>
      <w:proofErr w:type="gramStart"/>
      <w:r w:rsidRPr="005E249B">
        <w:rPr>
          <w:sz w:val="22"/>
          <w:szCs w:val="22"/>
        </w:rPr>
        <w:t xml:space="preserve">del </w:t>
      </w:r>
      <w:proofErr w:type="gramEnd"/>
      <w:r w:rsidRPr="005E249B">
        <w:rPr>
          <w:sz w:val="22"/>
          <w:szCs w:val="22"/>
        </w:rPr>
        <w:t>1/7/2009 stabilì che, a titolo sperime</w:t>
      </w:r>
      <w:r>
        <w:rPr>
          <w:sz w:val="22"/>
          <w:szCs w:val="22"/>
        </w:rPr>
        <w:t>ntale per gli anni 2009 e 2010</w:t>
      </w:r>
      <w:r w:rsidRPr="005E249B">
        <w:rPr>
          <w:sz w:val="22"/>
          <w:szCs w:val="22"/>
        </w:rPr>
        <w:t xml:space="preserve"> per incoraggiare la conservazione e lo sviluppo del capitale umano all’interno delle imprese, i lavoratori fossero incentivati a partecipare a corsi di formazione e di aggiornamento, sostenuti da una politica a supporto del reddito.</w:t>
      </w:r>
    </w:p>
    <w:p w14:paraId="2AC12605" w14:textId="77777777" w:rsidR="00AA0E8B" w:rsidRPr="005E249B" w:rsidRDefault="00AA0E8B" w:rsidP="00AA0E8B">
      <w:pPr>
        <w:spacing w:line="260" w:lineRule="exact"/>
        <w:jc w:val="both"/>
        <w:rPr>
          <w:sz w:val="22"/>
          <w:szCs w:val="22"/>
        </w:rPr>
      </w:pPr>
    </w:p>
    <w:p w14:paraId="4EDC6243" w14:textId="77777777" w:rsidR="00AA0E8B" w:rsidRPr="005E249B" w:rsidRDefault="00AA0E8B" w:rsidP="00AA0E8B">
      <w:pPr>
        <w:spacing w:line="260" w:lineRule="exact"/>
        <w:jc w:val="both"/>
        <w:rPr>
          <w:sz w:val="22"/>
          <w:szCs w:val="22"/>
        </w:rPr>
      </w:pPr>
      <w:r>
        <w:rPr>
          <w:sz w:val="22"/>
          <w:szCs w:val="22"/>
        </w:rPr>
        <w:t xml:space="preserve">   </w:t>
      </w:r>
      <w:r w:rsidRPr="005E249B">
        <w:rPr>
          <w:sz w:val="22"/>
          <w:szCs w:val="22"/>
        </w:rPr>
        <w:t xml:space="preserve">Nonostante </w:t>
      </w:r>
      <w:r>
        <w:rPr>
          <w:sz w:val="22"/>
          <w:szCs w:val="22"/>
        </w:rPr>
        <w:t>le misure attuate</w:t>
      </w:r>
      <w:r w:rsidRPr="005E249B">
        <w:rPr>
          <w:sz w:val="22"/>
          <w:szCs w:val="22"/>
        </w:rPr>
        <w:t xml:space="preserve">, l’Italia </w:t>
      </w:r>
      <w:proofErr w:type="gramStart"/>
      <w:r w:rsidRPr="005E249B">
        <w:rPr>
          <w:sz w:val="22"/>
          <w:szCs w:val="22"/>
        </w:rPr>
        <w:t>risulta essere</w:t>
      </w:r>
      <w:proofErr w:type="gramEnd"/>
      <w:r w:rsidRPr="005E249B">
        <w:rPr>
          <w:sz w:val="22"/>
          <w:szCs w:val="22"/>
        </w:rPr>
        <w:t xml:space="preserve"> all’ultimo posto tra i Paesi del mondo industrializzato per investimenti in formazione ed al terz’ultimo nell’Europa allargata. Se si vanno ad analizzare le manovre finanziare</w:t>
      </w:r>
      <w:r w:rsidRPr="005E249B">
        <w:rPr>
          <w:iCs/>
          <w:sz w:val="22"/>
          <w:szCs w:val="22"/>
        </w:rPr>
        <w:t>, in linea con</w:t>
      </w:r>
      <w:r>
        <w:rPr>
          <w:iCs/>
          <w:sz w:val="22"/>
          <w:szCs w:val="22"/>
        </w:rPr>
        <w:t xml:space="preserve"> quelle</w:t>
      </w:r>
      <w:r w:rsidRPr="005E249B">
        <w:rPr>
          <w:iCs/>
          <w:sz w:val="22"/>
          <w:szCs w:val="22"/>
        </w:rPr>
        <w:t xml:space="preserve"> </w:t>
      </w:r>
      <w:r w:rsidRPr="005E249B">
        <w:rPr>
          <w:sz w:val="22"/>
          <w:szCs w:val="22"/>
        </w:rPr>
        <w:t xml:space="preserve">adottate dai Governi dei diversi Paesi europei per far fronte alla crisi </w:t>
      </w:r>
      <w:r w:rsidRPr="005E249B">
        <w:rPr>
          <w:sz w:val="22"/>
          <w:szCs w:val="22"/>
        </w:rPr>
        <w:lastRenderedPageBreak/>
        <w:t xml:space="preserve">economica in corso, si può notare come l’Italia </w:t>
      </w:r>
      <w:r>
        <w:rPr>
          <w:sz w:val="22"/>
          <w:szCs w:val="22"/>
        </w:rPr>
        <w:t>sia l’unica ad aver tagliato di circa il</w:t>
      </w:r>
      <w:r w:rsidRPr="005E249B">
        <w:rPr>
          <w:sz w:val="22"/>
          <w:szCs w:val="22"/>
        </w:rPr>
        <w:t xml:space="preserve"> </w:t>
      </w:r>
      <w:proofErr w:type="gramStart"/>
      <w:r w:rsidRPr="005E249B">
        <w:rPr>
          <w:sz w:val="22"/>
          <w:szCs w:val="22"/>
        </w:rPr>
        <w:t>50% gli</w:t>
      </w:r>
      <w:proofErr w:type="gramEnd"/>
      <w:r w:rsidRPr="005E249B">
        <w:rPr>
          <w:sz w:val="22"/>
          <w:szCs w:val="22"/>
        </w:rPr>
        <w:t xml:space="preserve"> investimenti in formazione nella Pubblica Amministrazione, per l’anno </w:t>
      </w:r>
      <w:r>
        <w:rPr>
          <w:sz w:val="22"/>
          <w:szCs w:val="22"/>
        </w:rPr>
        <w:t>2011</w:t>
      </w:r>
      <w:r w:rsidRPr="005E249B">
        <w:rPr>
          <w:sz w:val="22"/>
          <w:szCs w:val="22"/>
        </w:rPr>
        <w:t>. In Germania e in Francia le risorse per la formazione e la ricerca sono state addirittura aumentate, a fronte di manovre economiche maggiori rispettivamente di tre e quattro volte quella italiana.</w:t>
      </w:r>
    </w:p>
    <w:p w14:paraId="77B27303" w14:textId="77777777" w:rsidR="00AA0E8B" w:rsidRDefault="00AA0E8B" w:rsidP="00AA0E8B">
      <w:pPr>
        <w:rPr>
          <w:sz w:val="22"/>
          <w:szCs w:val="22"/>
        </w:rPr>
      </w:pPr>
    </w:p>
    <w:p w14:paraId="13F32FA8" w14:textId="77777777" w:rsidR="00AA0E8B" w:rsidRPr="005E249B" w:rsidRDefault="00AA0E8B" w:rsidP="00AA0E8B">
      <w:pPr>
        <w:rPr>
          <w:sz w:val="22"/>
          <w:szCs w:val="22"/>
        </w:rPr>
      </w:pPr>
      <w:r>
        <w:rPr>
          <w:sz w:val="22"/>
          <w:szCs w:val="22"/>
        </w:rPr>
        <w:br w:type="page"/>
      </w:r>
    </w:p>
    <w:p w14:paraId="7377F35B" w14:textId="77777777" w:rsidR="00AA0E8B" w:rsidRPr="00557904" w:rsidRDefault="00AA0E8B" w:rsidP="00AA0E8B">
      <w:pPr>
        <w:rPr>
          <w:rFonts w:ascii="Arial" w:hAnsi="Arial" w:cs="Arial"/>
          <w:b/>
        </w:rPr>
      </w:pPr>
      <w:r>
        <w:rPr>
          <w:rFonts w:ascii="Arial" w:hAnsi="Arial" w:cs="Arial"/>
          <w:b/>
        </w:rPr>
        <w:t xml:space="preserve">2. </w:t>
      </w:r>
      <w:r w:rsidRPr="00DB146D">
        <w:rPr>
          <w:rFonts w:ascii="Arial" w:hAnsi="Arial" w:cs="Arial"/>
          <w:b/>
        </w:rPr>
        <w:t>Mondo della formazione aziendale</w:t>
      </w:r>
      <w:r>
        <w:rPr>
          <w:rFonts w:ascii="Arial" w:hAnsi="Arial" w:cs="Arial"/>
          <w:b/>
        </w:rPr>
        <w:fldChar w:fldCharType="begin"/>
      </w:r>
      <w:r>
        <w:instrText xml:space="preserve"> XE "</w:instrText>
      </w:r>
      <w:r>
        <w:rPr>
          <w:rFonts w:ascii="Arial" w:hAnsi="Arial" w:cs="Arial"/>
          <w:b/>
        </w:rPr>
        <w:instrText xml:space="preserve">2. </w:instrText>
      </w:r>
      <w:r w:rsidRPr="00DB146D">
        <w:rPr>
          <w:rFonts w:ascii="Arial" w:hAnsi="Arial" w:cs="Arial"/>
          <w:b/>
        </w:rPr>
        <w:instrText>Mondo della formazione aziendale</w:instrText>
      </w:r>
      <w:r>
        <w:instrText xml:space="preserve">" </w:instrText>
      </w:r>
      <w:r>
        <w:rPr>
          <w:rFonts w:ascii="Arial" w:hAnsi="Arial" w:cs="Arial"/>
          <w:b/>
        </w:rPr>
        <w:fldChar w:fldCharType="end"/>
      </w:r>
    </w:p>
    <w:p w14:paraId="5BBFD428" w14:textId="77777777" w:rsidR="00AA0E8B" w:rsidRDefault="00AA0E8B" w:rsidP="00AA0E8B">
      <w:pPr>
        <w:tabs>
          <w:tab w:val="num" w:pos="0"/>
        </w:tabs>
        <w:rPr>
          <w:rFonts w:ascii="Arial" w:hAnsi="Arial" w:cs="Arial"/>
          <w:b/>
          <w:sz w:val="22"/>
          <w:szCs w:val="22"/>
        </w:rPr>
      </w:pPr>
    </w:p>
    <w:p w14:paraId="693AE429" w14:textId="77777777" w:rsidR="00AA0E8B" w:rsidRPr="00DB146D" w:rsidRDefault="00AA0E8B" w:rsidP="00AA0E8B">
      <w:pPr>
        <w:tabs>
          <w:tab w:val="num" w:pos="0"/>
        </w:tabs>
        <w:rPr>
          <w:rFonts w:ascii="Arial" w:hAnsi="Arial" w:cs="Arial"/>
          <w:b/>
          <w:sz w:val="22"/>
          <w:szCs w:val="22"/>
        </w:rPr>
      </w:pPr>
    </w:p>
    <w:p w14:paraId="134FECBD" w14:textId="77777777" w:rsidR="00AA0E8B" w:rsidRDefault="00AA0E8B" w:rsidP="00AA0E8B">
      <w:pPr>
        <w:rPr>
          <w:rFonts w:ascii="Arial" w:hAnsi="Arial" w:cs="Arial"/>
          <w:b/>
          <w:i/>
        </w:rPr>
      </w:pPr>
      <w:proofErr w:type="gramStart"/>
      <w:r>
        <w:rPr>
          <w:rFonts w:ascii="Arial" w:hAnsi="Arial" w:cs="Arial"/>
          <w:b/>
          <w:i/>
        </w:rPr>
        <w:t>a.</w:t>
      </w:r>
      <w:proofErr w:type="gramEnd"/>
      <w:r>
        <w:rPr>
          <w:rFonts w:ascii="Arial" w:hAnsi="Arial" w:cs="Arial"/>
          <w:b/>
          <w:i/>
        </w:rPr>
        <w:t xml:space="preserve"> </w:t>
      </w:r>
      <w:r w:rsidRPr="00DB146D">
        <w:rPr>
          <w:rFonts w:ascii="Arial" w:hAnsi="Arial" w:cs="Arial"/>
          <w:b/>
          <w:i/>
        </w:rPr>
        <w:t>Internazionale</w:t>
      </w:r>
    </w:p>
    <w:p w14:paraId="7C39BB17" w14:textId="77777777" w:rsidR="00AA0E8B" w:rsidRPr="003712C1" w:rsidRDefault="00AA0E8B" w:rsidP="00AA0E8B">
      <w:pPr>
        <w:rPr>
          <w:rFonts w:ascii="Arial" w:hAnsi="Arial" w:cs="Arial"/>
          <w:b/>
          <w:i/>
        </w:rPr>
      </w:pPr>
      <w:r>
        <w:rPr>
          <w:rFonts w:ascii="Arial" w:hAnsi="Arial" w:cs="Arial"/>
          <w:b/>
          <w:i/>
        </w:rPr>
        <w:fldChar w:fldCharType="begin"/>
      </w:r>
      <w:r>
        <w:instrText xml:space="preserve"> XE "</w:instrText>
      </w:r>
      <w:r>
        <w:rPr>
          <w:rFonts w:ascii="Arial" w:hAnsi="Arial" w:cs="Arial"/>
          <w:b/>
          <w:i/>
        </w:rPr>
        <w:instrText xml:space="preserve">a. </w:instrText>
      </w:r>
      <w:r w:rsidRPr="00DB146D">
        <w:rPr>
          <w:rFonts w:ascii="Arial" w:hAnsi="Arial" w:cs="Arial"/>
          <w:b/>
          <w:i/>
        </w:rPr>
        <w:instrText>Internazionale</w:instrText>
      </w:r>
      <w:r>
        <w:instrText xml:space="preserve">" </w:instrText>
      </w:r>
      <w:r>
        <w:rPr>
          <w:rFonts w:ascii="Arial" w:hAnsi="Arial" w:cs="Arial"/>
          <w:b/>
          <w:i/>
        </w:rPr>
        <w:fldChar w:fldCharType="end"/>
      </w:r>
    </w:p>
    <w:p w14:paraId="4DCB568B" w14:textId="77777777" w:rsidR="00AA0E8B" w:rsidRDefault="00AA0E8B" w:rsidP="00AA0E8B">
      <w:pPr>
        <w:spacing w:line="260" w:lineRule="exact"/>
        <w:jc w:val="both"/>
        <w:rPr>
          <w:sz w:val="22"/>
          <w:szCs w:val="22"/>
        </w:rPr>
      </w:pPr>
      <w:r>
        <w:rPr>
          <w:sz w:val="22"/>
          <w:szCs w:val="22"/>
        </w:rPr>
        <w:t xml:space="preserve">   </w:t>
      </w:r>
    </w:p>
    <w:p w14:paraId="0CC3EFA3" w14:textId="77777777" w:rsidR="00AA0E8B" w:rsidRDefault="00AA0E8B" w:rsidP="00AA0E8B">
      <w:pPr>
        <w:spacing w:line="260" w:lineRule="exact"/>
        <w:jc w:val="both"/>
        <w:rPr>
          <w:sz w:val="22"/>
          <w:szCs w:val="22"/>
        </w:rPr>
      </w:pPr>
    </w:p>
    <w:p w14:paraId="53CCEB39" w14:textId="77777777" w:rsidR="00AA0E8B" w:rsidRPr="00FA4E44" w:rsidRDefault="00AA0E8B" w:rsidP="00AA0E8B">
      <w:pPr>
        <w:spacing w:line="260" w:lineRule="exact"/>
        <w:jc w:val="both"/>
        <w:rPr>
          <w:sz w:val="22"/>
          <w:szCs w:val="22"/>
        </w:rPr>
      </w:pPr>
      <w:r>
        <w:rPr>
          <w:sz w:val="22"/>
          <w:szCs w:val="22"/>
        </w:rPr>
        <w:t xml:space="preserve">   Analizzando il report 2012 di A</w:t>
      </w:r>
      <w:r w:rsidRPr="00FA4E44">
        <w:rPr>
          <w:sz w:val="22"/>
          <w:szCs w:val="22"/>
        </w:rPr>
        <w:t>TD</w:t>
      </w:r>
      <w:proofErr w:type="gramStart"/>
      <w:r w:rsidRPr="00FA4E44">
        <w:rPr>
          <w:rStyle w:val="Rimandonotaapidipagina"/>
          <w:sz w:val="22"/>
          <w:szCs w:val="22"/>
        </w:rPr>
        <w:footnoteReference w:id="1"/>
      </w:r>
      <w:r w:rsidRPr="00FA4E44">
        <w:rPr>
          <w:sz w:val="22"/>
          <w:szCs w:val="22"/>
        </w:rPr>
        <w:t xml:space="preserve"> </w:t>
      </w:r>
      <w:proofErr w:type="gramEnd"/>
      <w:r w:rsidRPr="00FA4E44">
        <w:rPr>
          <w:sz w:val="22"/>
          <w:szCs w:val="22"/>
        </w:rPr>
        <w:t>che fotografa il settore della formazione professionale all’interno delle principali imprese nel corso del 2011, emerge come le imprese continuino a spendere e ad investire in formazione e sviluppo delle persone all’interno delle proprie organizzazioni. Nel rapporto</w:t>
      </w:r>
      <w:proofErr w:type="gramStart"/>
      <w:r w:rsidRPr="00FA4E44">
        <w:rPr>
          <w:sz w:val="22"/>
          <w:szCs w:val="22"/>
        </w:rPr>
        <w:t xml:space="preserve"> infatti</w:t>
      </w:r>
      <w:proofErr w:type="gramEnd"/>
      <w:r w:rsidRPr="00FA4E44">
        <w:rPr>
          <w:sz w:val="22"/>
          <w:szCs w:val="22"/>
        </w:rPr>
        <w:t xml:space="preserve">, risulta che 461 organizzazioni, rappresentanti diversi settori, dimensioni e territori, riportino nel loro </w:t>
      </w:r>
      <w:proofErr w:type="spellStart"/>
      <w:r w:rsidRPr="00FA4E44">
        <w:rPr>
          <w:i/>
          <w:sz w:val="22"/>
          <w:szCs w:val="22"/>
        </w:rPr>
        <w:t>commitment</w:t>
      </w:r>
      <w:proofErr w:type="spellEnd"/>
      <w:r w:rsidRPr="00FA4E44">
        <w:rPr>
          <w:sz w:val="22"/>
          <w:szCs w:val="22"/>
        </w:rPr>
        <w:t xml:space="preserve"> la formazione e lo sviluppo delle persone. </w:t>
      </w:r>
    </w:p>
    <w:p w14:paraId="7768CD95" w14:textId="77777777" w:rsidR="00AA0E8B" w:rsidRPr="00FA4E44" w:rsidRDefault="00AA0E8B" w:rsidP="00AA0E8B">
      <w:pPr>
        <w:spacing w:line="260" w:lineRule="exact"/>
        <w:jc w:val="both"/>
        <w:rPr>
          <w:sz w:val="22"/>
          <w:szCs w:val="22"/>
        </w:rPr>
      </w:pPr>
      <w:r>
        <w:rPr>
          <w:sz w:val="22"/>
          <w:szCs w:val="22"/>
        </w:rPr>
        <w:t>A</w:t>
      </w:r>
      <w:r w:rsidRPr="00FA4E44">
        <w:rPr>
          <w:sz w:val="22"/>
          <w:szCs w:val="22"/>
        </w:rPr>
        <w:t xml:space="preserve">TD ha stimato che le organizzazioni americane hanno spenso circa $ 156.2 miliardi in formazione e sviluppo </w:t>
      </w:r>
      <w:proofErr w:type="gramStart"/>
      <w:r w:rsidRPr="00FA4E44">
        <w:rPr>
          <w:sz w:val="22"/>
          <w:szCs w:val="22"/>
        </w:rPr>
        <w:t>del</w:t>
      </w:r>
      <w:proofErr w:type="gramEnd"/>
      <w:r w:rsidRPr="00FA4E44">
        <w:rPr>
          <w:sz w:val="22"/>
          <w:szCs w:val="22"/>
        </w:rPr>
        <w:t xml:space="preserve"> dipendenti nel 2011. Questo dato è stato determinato </w:t>
      </w:r>
      <w:proofErr w:type="gramStart"/>
      <w:r w:rsidRPr="00FA4E44">
        <w:rPr>
          <w:sz w:val="22"/>
          <w:szCs w:val="22"/>
        </w:rPr>
        <w:t>facendo</w:t>
      </w:r>
      <w:proofErr w:type="gramEnd"/>
      <w:r w:rsidRPr="00FA4E44">
        <w:rPr>
          <w:sz w:val="22"/>
          <w:szCs w:val="22"/>
        </w:rPr>
        <w:t xml:space="preserve"> la media tra spese dirette per dipendenti (che sono diminuite del 4 % nel 2011), moltiplicate per la dimensione della forza lavoro USA. Le spese dirette in formazione includono </w:t>
      </w:r>
      <w:proofErr w:type="gramStart"/>
      <w:r w:rsidRPr="00FA4E44">
        <w:rPr>
          <w:sz w:val="22"/>
          <w:szCs w:val="22"/>
        </w:rPr>
        <w:t>spese</w:t>
      </w:r>
      <w:proofErr w:type="gramEnd"/>
      <w:r w:rsidRPr="00FA4E44">
        <w:rPr>
          <w:sz w:val="22"/>
          <w:szCs w:val="22"/>
        </w:rPr>
        <w:t xml:space="preserve"> quali gli stipendi dello staff di formazione e sviluppo, i costi amministrativi per la formazione e i costi indiretti non legati agli stipendi. Nel totale di tutto ciò, il 56% ($ 86.5 miliardi) </w:t>
      </w:r>
      <w:proofErr w:type="gramStart"/>
      <w:r w:rsidRPr="00FA4E44">
        <w:rPr>
          <w:sz w:val="22"/>
          <w:szCs w:val="22"/>
        </w:rPr>
        <w:t>sono</w:t>
      </w:r>
      <w:proofErr w:type="gramEnd"/>
      <w:r w:rsidRPr="00FA4E44">
        <w:rPr>
          <w:sz w:val="22"/>
          <w:szCs w:val="22"/>
        </w:rPr>
        <w:t xml:space="preserve"> stati spesi internamente. Il rimanente è stato suddiviso tra rimborsi studio, che contano per il 14% ($21.</w:t>
      </w:r>
      <w:proofErr w:type="gramStart"/>
      <w:r w:rsidRPr="00FA4E44">
        <w:rPr>
          <w:sz w:val="22"/>
          <w:szCs w:val="22"/>
        </w:rPr>
        <w:t>9</w:t>
      </w:r>
      <w:proofErr w:type="gramEnd"/>
      <w:r w:rsidRPr="00FA4E44">
        <w:rPr>
          <w:sz w:val="22"/>
          <w:szCs w:val="22"/>
        </w:rPr>
        <w:t xml:space="preserve"> miliardi), e servizi esterni, compressi al 30% ($46.9 miliardi).</w:t>
      </w:r>
    </w:p>
    <w:p w14:paraId="0AA3D235" w14:textId="77777777" w:rsidR="00AA0E8B" w:rsidRPr="00FA4E44" w:rsidRDefault="00AA0E8B" w:rsidP="00AA0E8B">
      <w:pPr>
        <w:spacing w:line="260" w:lineRule="exact"/>
        <w:jc w:val="both"/>
        <w:rPr>
          <w:sz w:val="22"/>
          <w:szCs w:val="22"/>
        </w:rPr>
      </w:pPr>
      <w:r>
        <w:rPr>
          <w:sz w:val="22"/>
          <w:szCs w:val="22"/>
        </w:rPr>
        <w:t xml:space="preserve">   </w:t>
      </w:r>
      <w:r w:rsidRPr="00FA4E44">
        <w:rPr>
          <w:sz w:val="22"/>
          <w:szCs w:val="22"/>
        </w:rPr>
        <w:t xml:space="preserve">La media delle spese dirette per dipendente è diminuita nel 2011 a $1,182, dopo che aveva avuto un picco di $ 1,228 ($1,267 dato aggiustato a seguito dell’inflazione) nel 2010. Questo segna un </w:t>
      </w:r>
      <w:proofErr w:type="gramStart"/>
      <w:r w:rsidRPr="00FA4E44">
        <w:rPr>
          <w:sz w:val="22"/>
          <w:szCs w:val="22"/>
        </w:rPr>
        <w:t>decremento</w:t>
      </w:r>
      <w:proofErr w:type="gramEnd"/>
      <w:r w:rsidRPr="00FA4E44">
        <w:rPr>
          <w:sz w:val="22"/>
          <w:szCs w:val="22"/>
        </w:rPr>
        <w:t xml:space="preserve"> del 4% (7% considerando l’inflazione) nelle spese dirette per dipendente in attività ed infrastrutture di formazione e sviluppo. </w:t>
      </w:r>
    </w:p>
    <w:p w14:paraId="49C3DF25" w14:textId="77777777" w:rsidR="00AA0E8B" w:rsidRPr="00FA4E44" w:rsidRDefault="00AA0E8B" w:rsidP="00AA0E8B">
      <w:pPr>
        <w:spacing w:line="260" w:lineRule="exact"/>
        <w:jc w:val="both"/>
        <w:rPr>
          <w:sz w:val="22"/>
          <w:szCs w:val="22"/>
        </w:rPr>
      </w:pPr>
      <w:r w:rsidRPr="00FA4E44">
        <w:rPr>
          <w:sz w:val="22"/>
          <w:szCs w:val="22"/>
        </w:rPr>
        <w:t xml:space="preserve">Molti fattori hanno influenzato questo dato; in primis la dimensione delle organizzazioni. </w:t>
      </w:r>
      <w:proofErr w:type="gramStart"/>
      <w:r w:rsidRPr="00FA4E44">
        <w:rPr>
          <w:sz w:val="22"/>
          <w:szCs w:val="22"/>
        </w:rPr>
        <w:t>Infatti</w:t>
      </w:r>
      <w:proofErr w:type="gramEnd"/>
      <w:r w:rsidRPr="00FA4E44">
        <w:rPr>
          <w:sz w:val="22"/>
          <w:szCs w:val="22"/>
        </w:rPr>
        <w:t xml:space="preserve"> tipicamente le piccole aziende (con meno di 500 dipendenti) spendono di più in formazione e sviluppo rispetto alle grandi aziende. </w:t>
      </w:r>
    </w:p>
    <w:p w14:paraId="7A546881" w14:textId="77777777" w:rsidR="00AA0E8B" w:rsidRPr="00FA4E44" w:rsidRDefault="00AA0E8B" w:rsidP="00AA0E8B">
      <w:pPr>
        <w:spacing w:line="260" w:lineRule="exact"/>
        <w:jc w:val="both"/>
        <w:rPr>
          <w:sz w:val="22"/>
          <w:szCs w:val="22"/>
        </w:rPr>
      </w:pPr>
      <w:r>
        <w:rPr>
          <w:sz w:val="22"/>
          <w:szCs w:val="22"/>
        </w:rPr>
        <w:t xml:space="preserve">   </w:t>
      </w:r>
      <w:r w:rsidRPr="00FA4E44">
        <w:rPr>
          <w:sz w:val="22"/>
          <w:szCs w:val="22"/>
        </w:rPr>
        <w:t xml:space="preserve">Nel 2010, le piccole aziende con meno di 500 dipendenti hanno speso mediamente $ 1,605, le medie (tra i 500 e i 9.999 dipendenti) </w:t>
      </w:r>
      <w:proofErr w:type="gramStart"/>
      <w:r w:rsidRPr="00FA4E44">
        <w:rPr>
          <w:sz w:val="22"/>
          <w:szCs w:val="22"/>
        </w:rPr>
        <w:t>hanno</w:t>
      </w:r>
      <w:proofErr w:type="gramEnd"/>
      <w:r w:rsidRPr="00FA4E44">
        <w:rPr>
          <w:sz w:val="22"/>
          <w:szCs w:val="22"/>
        </w:rPr>
        <w:t xml:space="preserve"> speso $1,102 e le grandi con più di 10.000 dipendenti $825. </w:t>
      </w:r>
    </w:p>
    <w:p w14:paraId="133A0371" w14:textId="77777777" w:rsidR="00AA0E8B" w:rsidRPr="00FA4E44" w:rsidRDefault="00AA0E8B" w:rsidP="00AA0E8B">
      <w:pPr>
        <w:spacing w:line="260" w:lineRule="exact"/>
        <w:jc w:val="both"/>
        <w:rPr>
          <w:sz w:val="22"/>
          <w:szCs w:val="22"/>
        </w:rPr>
      </w:pPr>
      <w:r w:rsidRPr="00FA4E44">
        <w:rPr>
          <w:sz w:val="22"/>
          <w:szCs w:val="22"/>
        </w:rPr>
        <w:t xml:space="preserve">Quando la spesa in formazione e sviluppo </w:t>
      </w:r>
      <w:proofErr w:type="gramStart"/>
      <w:r w:rsidRPr="00FA4E44">
        <w:rPr>
          <w:sz w:val="22"/>
          <w:szCs w:val="22"/>
        </w:rPr>
        <w:t>viene</w:t>
      </w:r>
      <w:proofErr w:type="gramEnd"/>
      <w:r w:rsidRPr="00FA4E44">
        <w:rPr>
          <w:sz w:val="22"/>
          <w:szCs w:val="22"/>
        </w:rPr>
        <w:t xml:space="preserve"> paragonata a quella per il </w:t>
      </w:r>
      <w:proofErr w:type="spellStart"/>
      <w:r w:rsidRPr="00FA4E44">
        <w:rPr>
          <w:i/>
          <w:sz w:val="22"/>
          <w:szCs w:val="22"/>
        </w:rPr>
        <w:t>payroll</w:t>
      </w:r>
      <w:proofErr w:type="spellEnd"/>
      <w:r w:rsidRPr="00FA4E44">
        <w:rPr>
          <w:sz w:val="22"/>
          <w:szCs w:val="22"/>
        </w:rPr>
        <w:t xml:space="preserve">, risulta evidente che le aziende investono ancora in maniera molto forte nella formazione e sviluppo. </w:t>
      </w:r>
    </w:p>
    <w:p w14:paraId="33A2D327" w14:textId="77777777" w:rsidR="00AA0E8B" w:rsidRPr="00FA4E44" w:rsidRDefault="00AA0E8B" w:rsidP="00AA0E8B">
      <w:pPr>
        <w:spacing w:line="260" w:lineRule="exact"/>
        <w:jc w:val="both"/>
        <w:rPr>
          <w:sz w:val="22"/>
          <w:szCs w:val="22"/>
        </w:rPr>
      </w:pPr>
    </w:p>
    <w:p w14:paraId="088B557D" w14:textId="77777777" w:rsidR="00AA0E8B" w:rsidRDefault="00AA0E8B" w:rsidP="00AA0E8B">
      <w:pPr>
        <w:spacing w:line="260" w:lineRule="exact"/>
        <w:jc w:val="both"/>
        <w:rPr>
          <w:sz w:val="22"/>
          <w:szCs w:val="22"/>
        </w:rPr>
      </w:pPr>
      <w:r>
        <w:rPr>
          <w:sz w:val="22"/>
          <w:szCs w:val="22"/>
        </w:rPr>
        <w:t xml:space="preserve">   </w:t>
      </w:r>
      <w:r w:rsidRPr="00FA4E44">
        <w:rPr>
          <w:sz w:val="22"/>
          <w:szCs w:val="22"/>
        </w:rPr>
        <w:t xml:space="preserve">Analizzando la strategia di formazione e sviluppo e stabilendo quanti fondi spendere, quale contenuto offrire, come effettivamente distribuire il contenuto, sviluppare una cultura della formazione e dello sviluppo </w:t>
      </w:r>
      <w:proofErr w:type="gramStart"/>
      <w:r w:rsidRPr="00FA4E44">
        <w:rPr>
          <w:sz w:val="22"/>
          <w:szCs w:val="22"/>
        </w:rPr>
        <w:t>risulta essere</w:t>
      </w:r>
      <w:proofErr w:type="gramEnd"/>
      <w:r w:rsidRPr="00FA4E44">
        <w:rPr>
          <w:sz w:val="22"/>
          <w:szCs w:val="22"/>
        </w:rPr>
        <w:t xml:space="preserve"> una versa sfida. Lavorando per raggiungere questi obiettivi, diventa importante avere un benchmark (</w:t>
      </w:r>
      <w:r>
        <w:rPr>
          <w:sz w:val="22"/>
          <w:szCs w:val="22"/>
        </w:rPr>
        <w:t>cosa che propone il report di A</w:t>
      </w:r>
      <w:r w:rsidRPr="00FA4E44">
        <w:rPr>
          <w:sz w:val="22"/>
          <w:szCs w:val="22"/>
        </w:rPr>
        <w:t xml:space="preserve">TD), al fine di avere dei modelli </w:t>
      </w:r>
      <w:proofErr w:type="gramStart"/>
      <w:r w:rsidRPr="00FA4E44">
        <w:rPr>
          <w:sz w:val="22"/>
          <w:szCs w:val="22"/>
        </w:rPr>
        <w:t>di</w:t>
      </w:r>
      <w:proofErr w:type="gramEnd"/>
      <w:r w:rsidRPr="00FA4E44">
        <w:rPr>
          <w:sz w:val="22"/>
          <w:szCs w:val="22"/>
        </w:rPr>
        <w:t xml:space="preserve"> eccellenza di riferimento. I risultati riportati nel report 2012, fotografano una situazione stabile per quanto riguarda il settore della formazione e sviluppo delle persone e un chiaro riconoscimento della sua importanza strategica </w:t>
      </w:r>
      <w:proofErr w:type="gramStart"/>
      <w:r w:rsidRPr="00FA4E44">
        <w:rPr>
          <w:sz w:val="22"/>
          <w:szCs w:val="22"/>
        </w:rPr>
        <w:t xml:space="preserve">da parte dei </w:t>
      </w:r>
      <w:r w:rsidRPr="00FA4E44">
        <w:rPr>
          <w:i/>
          <w:sz w:val="22"/>
          <w:szCs w:val="22"/>
        </w:rPr>
        <w:t>senior manager</w:t>
      </w:r>
      <w:proofErr w:type="gramEnd"/>
      <w:r w:rsidRPr="00FA4E44">
        <w:rPr>
          <w:sz w:val="22"/>
          <w:szCs w:val="22"/>
        </w:rPr>
        <w:t xml:space="preserve">, evidenziato dal loro </w:t>
      </w:r>
      <w:r w:rsidRPr="00FA4E44">
        <w:rPr>
          <w:i/>
          <w:sz w:val="22"/>
          <w:szCs w:val="22"/>
        </w:rPr>
        <w:t>engagement</w:t>
      </w:r>
      <w:r w:rsidRPr="00FA4E44">
        <w:rPr>
          <w:sz w:val="22"/>
          <w:szCs w:val="22"/>
        </w:rPr>
        <w:t xml:space="preserve"> e dalla loro partecipazione attiva e all’investimento che dedicano in formazione e sviluppo.</w:t>
      </w:r>
      <w:r>
        <w:rPr>
          <w:sz w:val="22"/>
          <w:szCs w:val="22"/>
        </w:rPr>
        <w:t xml:space="preserve"> </w:t>
      </w:r>
    </w:p>
    <w:p w14:paraId="645B597A" w14:textId="77777777" w:rsidR="00AA0E8B" w:rsidRDefault="00AA0E8B" w:rsidP="00AA0E8B">
      <w:pPr>
        <w:spacing w:line="260" w:lineRule="exact"/>
        <w:jc w:val="both"/>
        <w:rPr>
          <w:sz w:val="22"/>
          <w:szCs w:val="22"/>
        </w:rPr>
      </w:pPr>
      <w:r>
        <w:rPr>
          <w:sz w:val="22"/>
          <w:szCs w:val="22"/>
        </w:rPr>
        <w:t xml:space="preserve"> </w:t>
      </w:r>
    </w:p>
    <w:p w14:paraId="1F847896" w14:textId="77777777" w:rsidR="00AA0E8B" w:rsidRDefault="00AA0E8B" w:rsidP="00AA0E8B">
      <w:pPr>
        <w:spacing w:line="260" w:lineRule="exact"/>
        <w:jc w:val="both"/>
        <w:rPr>
          <w:sz w:val="22"/>
          <w:szCs w:val="22"/>
        </w:rPr>
      </w:pPr>
      <w:r>
        <w:rPr>
          <w:sz w:val="22"/>
          <w:szCs w:val="22"/>
        </w:rPr>
        <w:t xml:space="preserve">   Dal Report ATD 2013</w:t>
      </w:r>
      <w:r>
        <w:rPr>
          <w:rStyle w:val="Rimandonotaapidipagina"/>
          <w:sz w:val="22"/>
          <w:szCs w:val="22"/>
        </w:rPr>
        <w:footnoteReference w:id="2"/>
      </w:r>
      <w:proofErr w:type="gramStart"/>
      <w:r>
        <w:rPr>
          <w:sz w:val="22"/>
          <w:szCs w:val="22"/>
        </w:rPr>
        <w:t xml:space="preserve">, </w:t>
      </w:r>
      <w:proofErr w:type="gramEnd"/>
      <w:r>
        <w:rPr>
          <w:sz w:val="22"/>
          <w:szCs w:val="22"/>
        </w:rPr>
        <w:t xml:space="preserve">svolto su un campione di 475 organizzazioni, si stima che nel 2012 sono stati spesi 164,2 miliardi di dollari in formazione, di queste il 61% circa è stato speso in formazione interna, il rimanente in servizi esterni; circa 1,195 dollari per ogni lavoratore, 13 dollari in più rispetto al 2011. L’investimento in formazione per ogni lavoratore è influenzato da diversi fattori: il primo è la dimensione delle organizzazioni, circa il 36% delle aziende che hanno fatto parte della </w:t>
      </w:r>
      <w:proofErr w:type="spellStart"/>
      <w:proofErr w:type="gramStart"/>
      <w:r>
        <w:rPr>
          <w:sz w:val="22"/>
          <w:szCs w:val="22"/>
        </w:rPr>
        <w:t>survey</w:t>
      </w:r>
      <w:proofErr w:type="spellEnd"/>
      <w:proofErr w:type="gramEnd"/>
      <w:r>
        <w:rPr>
          <w:sz w:val="22"/>
          <w:szCs w:val="22"/>
        </w:rPr>
        <w:t xml:space="preserve"> sono aziende con meno di 500 dipendenti, e che quindi data la loro media dimensione non sono fornite di un grande staff di Formazione e Sviluppo e quindi acquistano dall’esterno i servizi di cui necessitano e spendono tipicamente di più in formazione per i loro dipendenti, per rimanere nel mercato. Nel 2012, per le piccole e medie imprese con meno di 500 dipendenti, le spese dirette in formazione per dipendente sono state mediamente di 1,800 dollari, per le medie imprese dai 500 ai 9.999 dipendenti, la spesa media è stata di 964 dollari, per le grandi imprese con oltre 10.000 dipendenti, la spesa media è stata di circa 700 dollari.</w:t>
      </w:r>
    </w:p>
    <w:p w14:paraId="3812CF1C" w14:textId="77777777" w:rsidR="00AA0E8B" w:rsidRDefault="00AA0E8B" w:rsidP="00AA0E8B">
      <w:pPr>
        <w:spacing w:line="260" w:lineRule="exact"/>
        <w:jc w:val="both"/>
        <w:rPr>
          <w:sz w:val="22"/>
          <w:szCs w:val="22"/>
        </w:rPr>
      </w:pPr>
    </w:p>
    <w:p w14:paraId="44A03CFD"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1 -</w:t>
      </w:r>
      <w:r w:rsidRPr="00D63E9A">
        <w:rPr>
          <w:rFonts w:ascii="Arial" w:hAnsi="Arial" w:cs="Arial"/>
          <w:b/>
          <w:sz w:val="20"/>
          <w:szCs w:val="20"/>
        </w:rPr>
        <w:t xml:space="preserve"> Percentuale di </w:t>
      </w:r>
      <w:r>
        <w:rPr>
          <w:rFonts w:ascii="Arial" w:hAnsi="Arial" w:cs="Arial"/>
          <w:b/>
          <w:sz w:val="20"/>
          <w:szCs w:val="20"/>
        </w:rPr>
        <w:t>spesa in</w:t>
      </w:r>
      <w:r w:rsidRPr="00D63E9A">
        <w:rPr>
          <w:rFonts w:ascii="Arial" w:hAnsi="Arial" w:cs="Arial"/>
          <w:b/>
          <w:sz w:val="20"/>
          <w:szCs w:val="20"/>
        </w:rPr>
        <w:t xml:space="preserve"> formazione erogate per ogni</w:t>
      </w:r>
      <w:r>
        <w:rPr>
          <w:rFonts w:ascii="Arial" w:hAnsi="Arial" w:cs="Arial"/>
          <w:b/>
          <w:sz w:val="20"/>
          <w:szCs w:val="20"/>
        </w:rPr>
        <w:t xml:space="preserve"> dipendente - 2012</w:t>
      </w:r>
    </w:p>
    <w:p w14:paraId="52508B41" w14:textId="77777777" w:rsidR="00AA0E8B" w:rsidRDefault="00AA0E8B" w:rsidP="00AA0E8B">
      <w:pPr>
        <w:spacing w:line="260" w:lineRule="exact"/>
        <w:jc w:val="both"/>
        <w:rPr>
          <w:sz w:val="22"/>
          <w:szCs w:val="22"/>
        </w:rPr>
      </w:pPr>
    </w:p>
    <w:p w14:paraId="76FB122E" w14:textId="77777777" w:rsidR="00AA0E8B" w:rsidRDefault="00AA0E8B" w:rsidP="00AA0E8B">
      <w:pPr>
        <w:spacing w:line="260" w:lineRule="exact"/>
        <w:jc w:val="both"/>
        <w:rPr>
          <w:sz w:val="22"/>
          <w:szCs w:val="22"/>
        </w:rPr>
      </w:pPr>
      <w:r w:rsidRPr="00BE1C87">
        <w:rPr>
          <w:noProof/>
        </w:rPr>
        <w:drawing>
          <wp:anchor distT="0" distB="0" distL="114300" distR="114300" simplePos="0" relativeHeight="251659264" behindDoc="0" locked="0" layoutInCell="1" allowOverlap="1" wp14:anchorId="474B6D2D" wp14:editId="33A84292">
            <wp:simplePos x="0" y="0"/>
            <wp:positionH relativeFrom="column">
              <wp:posOffset>0</wp:posOffset>
            </wp:positionH>
            <wp:positionV relativeFrom="paragraph">
              <wp:posOffset>0</wp:posOffset>
            </wp:positionV>
            <wp:extent cx="4246880" cy="2485390"/>
            <wp:effectExtent l="0" t="0" r="0" b="3810"/>
            <wp:wrapThrough wrapText="bothSides">
              <wp:wrapPolygon edited="0">
                <wp:start x="0" y="0"/>
                <wp:lineTo x="0" y="21412"/>
                <wp:lineTo x="21445" y="21412"/>
                <wp:lineTo x="21445" y="0"/>
                <wp:lineTo x="0" y="0"/>
              </wp:wrapPolygon>
            </wp:wrapThrough>
            <wp:docPr id="95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46880" cy="24853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F55930" w14:textId="77777777" w:rsidR="00AA0E8B" w:rsidRDefault="00AA0E8B" w:rsidP="00AA0E8B">
      <w:pPr>
        <w:jc w:val="both"/>
        <w:rPr>
          <w:rFonts w:ascii="Arial" w:hAnsi="Arial" w:cs="Arial"/>
          <w:b/>
          <w:sz w:val="20"/>
          <w:szCs w:val="20"/>
        </w:rPr>
      </w:pPr>
    </w:p>
    <w:p w14:paraId="176B3E43" w14:textId="77777777" w:rsidR="00AA0E8B" w:rsidRDefault="00AA0E8B" w:rsidP="00AA0E8B">
      <w:pPr>
        <w:jc w:val="both"/>
        <w:rPr>
          <w:rFonts w:ascii="Arial" w:hAnsi="Arial" w:cs="Arial"/>
          <w:b/>
          <w:sz w:val="20"/>
          <w:szCs w:val="20"/>
        </w:rPr>
      </w:pPr>
    </w:p>
    <w:p w14:paraId="0840502F" w14:textId="77777777" w:rsidR="00AA0E8B" w:rsidRDefault="00AA0E8B" w:rsidP="00AA0E8B">
      <w:pPr>
        <w:jc w:val="both"/>
        <w:rPr>
          <w:rFonts w:ascii="Arial" w:hAnsi="Arial" w:cs="Arial"/>
          <w:b/>
          <w:sz w:val="20"/>
          <w:szCs w:val="20"/>
        </w:rPr>
      </w:pPr>
    </w:p>
    <w:p w14:paraId="2650C543" w14:textId="77777777" w:rsidR="00AA0E8B" w:rsidRDefault="00AA0E8B" w:rsidP="00AA0E8B">
      <w:pPr>
        <w:jc w:val="both"/>
        <w:rPr>
          <w:rFonts w:ascii="Arial" w:hAnsi="Arial" w:cs="Arial"/>
          <w:b/>
          <w:sz w:val="20"/>
          <w:szCs w:val="20"/>
        </w:rPr>
      </w:pPr>
    </w:p>
    <w:p w14:paraId="03AC58EF" w14:textId="77777777" w:rsidR="00AA0E8B" w:rsidRDefault="00AA0E8B" w:rsidP="00AA0E8B">
      <w:pPr>
        <w:jc w:val="both"/>
        <w:rPr>
          <w:rFonts w:ascii="Arial" w:hAnsi="Arial" w:cs="Arial"/>
          <w:b/>
          <w:sz w:val="20"/>
          <w:szCs w:val="20"/>
        </w:rPr>
      </w:pPr>
    </w:p>
    <w:p w14:paraId="05DC8824" w14:textId="77777777" w:rsidR="00AA0E8B" w:rsidRDefault="00AA0E8B" w:rsidP="00AA0E8B">
      <w:pPr>
        <w:jc w:val="both"/>
        <w:rPr>
          <w:rFonts w:ascii="Arial" w:hAnsi="Arial" w:cs="Arial"/>
          <w:b/>
          <w:sz w:val="20"/>
          <w:szCs w:val="20"/>
        </w:rPr>
      </w:pPr>
    </w:p>
    <w:p w14:paraId="785F9335" w14:textId="77777777" w:rsidR="00AA0E8B" w:rsidRDefault="00AA0E8B" w:rsidP="00AA0E8B">
      <w:pPr>
        <w:jc w:val="both"/>
        <w:rPr>
          <w:rFonts w:ascii="Arial" w:hAnsi="Arial" w:cs="Arial"/>
          <w:b/>
          <w:sz w:val="20"/>
          <w:szCs w:val="20"/>
        </w:rPr>
      </w:pPr>
    </w:p>
    <w:p w14:paraId="059F590F" w14:textId="77777777" w:rsidR="00AA0E8B" w:rsidRDefault="00AA0E8B" w:rsidP="00AA0E8B">
      <w:pPr>
        <w:jc w:val="both"/>
        <w:rPr>
          <w:rFonts w:ascii="Arial" w:hAnsi="Arial" w:cs="Arial"/>
          <w:b/>
          <w:sz w:val="20"/>
          <w:szCs w:val="20"/>
        </w:rPr>
      </w:pPr>
    </w:p>
    <w:p w14:paraId="4D285137" w14:textId="77777777" w:rsidR="00AA0E8B" w:rsidRDefault="00AA0E8B" w:rsidP="00AA0E8B">
      <w:pPr>
        <w:jc w:val="both"/>
        <w:rPr>
          <w:rFonts w:ascii="Arial" w:hAnsi="Arial" w:cs="Arial"/>
          <w:b/>
          <w:sz w:val="20"/>
          <w:szCs w:val="20"/>
        </w:rPr>
      </w:pPr>
    </w:p>
    <w:p w14:paraId="1EC090BC" w14:textId="77777777" w:rsidR="00AA0E8B" w:rsidRDefault="00AA0E8B" w:rsidP="00AA0E8B">
      <w:pPr>
        <w:jc w:val="both"/>
        <w:rPr>
          <w:rFonts w:ascii="Arial" w:hAnsi="Arial" w:cs="Arial"/>
          <w:b/>
          <w:sz w:val="20"/>
          <w:szCs w:val="20"/>
        </w:rPr>
      </w:pPr>
    </w:p>
    <w:p w14:paraId="5C7D4966" w14:textId="77777777" w:rsidR="00A565BB" w:rsidRDefault="00A565BB" w:rsidP="00AA0E8B">
      <w:pPr>
        <w:jc w:val="both"/>
        <w:rPr>
          <w:rFonts w:ascii="Arial" w:hAnsi="Arial" w:cs="Arial"/>
          <w:b/>
          <w:sz w:val="20"/>
          <w:szCs w:val="20"/>
        </w:rPr>
      </w:pPr>
    </w:p>
    <w:p w14:paraId="4D75A45F" w14:textId="77777777" w:rsidR="00A565BB" w:rsidRDefault="00A565BB" w:rsidP="00AA0E8B">
      <w:pPr>
        <w:jc w:val="both"/>
        <w:rPr>
          <w:rFonts w:ascii="Arial" w:hAnsi="Arial" w:cs="Arial"/>
          <w:b/>
          <w:sz w:val="20"/>
          <w:szCs w:val="20"/>
        </w:rPr>
      </w:pPr>
    </w:p>
    <w:p w14:paraId="352FB3F1" w14:textId="77777777" w:rsidR="00A565BB" w:rsidRDefault="00A565BB" w:rsidP="00AA0E8B">
      <w:pPr>
        <w:jc w:val="both"/>
        <w:rPr>
          <w:rFonts w:ascii="Arial" w:hAnsi="Arial" w:cs="Arial"/>
          <w:b/>
          <w:sz w:val="20"/>
          <w:szCs w:val="20"/>
        </w:rPr>
      </w:pPr>
    </w:p>
    <w:p w14:paraId="0216FFD1" w14:textId="77777777" w:rsidR="00A565BB" w:rsidRDefault="00A565BB" w:rsidP="00AA0E8B">
      <w:pPr>
        <w:jc w:val="both"/>
        <w:rPr>
          <w:rFonts w:ascii="Arial" w:hAnsi="Arial" w:cs="Arial"/>
          <w:b/>
          <w:sz w:val="20"/>
          <w:szCs w:val="20"/>
        </w:rPr>
      </w:pPr>
    </w:p>
    <w:p w14:paraId="4760B18B" w14:textId="77777777" w:rsidR="00A565BB" w:rsidRDefault="00A565BB" w:rsidP="00AA0E8B">
      <w:pPr>
        <w:jc w:val="both"/>
        <w:rPr>
          <w:rFonts w:ascii="Arial" w:hAnsi="Arial" w:cs="Arial"/>
          <w:b/>
          <w:sz w:val="20"/>
          <w:szCs w:val="20"/>
        </w:rPr>
      </w:pPr>
    </w:p>
    <w:p w14:paraId="6387F950" w14:textId="77777777" w:rsidR="00A565BB" w:rsidRDefault="00A565BB" w:rsidP="00AA0E8B">
      <w:pPr>
        <w:jc w:val="both"/>
        <w:rPr>
          <w:rFonts w:ascii="Arial" w:hAnsi="Arial" w:cs="Arial"/>
          <w:b/>
          <w:sz w:val="20"/>
          <w:szCs w:val="20"/>
        </w:rPr>
      </w:pPr>
    </w:p>
    <w:p w14:paraId="72745E68" w14:textId="77777777" w:rsidR="00A565BB" w:rsidRDefault="00A565BB" w:rsidP="00AA0E8B">
      <w:pPr>
        <w:jc w:val="both"/>
        <w:rPr>
          <w:rFonts w:ascii="Arial" w:hAnsi="Arial" w:cs="Arial"/>
          <w:b/>
          <w:sz w:val="20"/>
          <w:szCs w:val="20"/>
        </w:rPr>
      </w:pPr>
    </w:p>
    <w:p w14:paraId="7556AEA5"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2 –</w:t>
      </w:r>
      <w:r w:rsidRPr="00D63E9A">
        <w:rPr>
          <w:rFonts w:ascii="Arial" w:hAnsi="Arial" w:cs="Arial"/>
          <w:b/>
          <w:sz w:val="20"/>
          <w:szCs w:val="20"/>
        </w:rPr>
        <w:t xml:space="preserve"> </w:t>
      </w:r>
      <w:r>
        <w:rPr>
          <w:rFonts w:ascii="Arial" w:hAnsi="Arial" w:cs="Arial"/>
          <w:b/>
          <w:sz w:val="20"/>
          <w:szCs w:val="20"/>
        </w:rPr>
        <w:t>Ore di formazione usate per dipendente - 2012</w:t>
      </w:r>
    </w:p>
    <w:p w14:paraId="1976DB51" w14:textId="77777777" w:rsidR="00AA0E8B" w:rsidRDefault="00AA0E8B" w:rsidP="00AA0E8B">
      <w:pPr>
        <w:spacing w:line="260" w:lineRule="exact"/>
        <w:jc w:val="both"/>
        <w:rPr>
          <w:sz w:val="22"/>
          <w:szCs w:val="22"/>
        </w:rPr>
      </w:pPr>
    </w:p>
    <w:p w14:paraId="7FC87123" w14:textId="77777777" w:rsidR="00AA0E8B" w:rsidRDefault="00AA0E8B" w:rsidP="00AA0E8B">
      <w:pPr>
        <w:spacing w:line="260" w:lineRule="exact"/>
        <w:jc w:val="both"/>
        <w:rPr>
          <w:sz w:val="22"/>
          <w:szCs w:val="22"/>
        </w:rPr>
      </w:pPr>
      <w:r w:rsidRPr="00BE1C87">
        <w:rPr>
          <w:noProof/>
        </w:rPr>
        <w:drawing>
          <wp:anchor distT="0" distB="0" distL="114300" distR="114300" simplePos="0" relativeHeight="251660288" behindDoc="0" locked="0" layoutInCell="1" allowOverlap="1" wp14:anchorId="590EB21B" wp14:editId="23D39232">
            <wp:simplePos x="0" y="0"/>
            <wp:positionH relativeFrom="column">
              <wp:posOffset>0</wp:posOffset>
            </wp:positionH>
            <wp:positionV relativeFrom="paragraph">
              <wp:posOffset>0</wp:posOffset>
            </wp:positionV>
            <wp:extent cx="4244340" cy="2904490"/>
            <wp:effectExtent l="0" t="0" r="0" b="0"/>
            <wp:wrapThrough wrapText="bothSides">
              <wp:wrapPolygon edited="0">
                <wp:start x="0" y="0"/>
                <wp:lineTo x="0" y="21345"/>
                <wp:lineTo x="21458" y="21345"/>
                <wp:lineTo x="21458" y="0"/>
                <wp:lineTo x="0" y="0"/>
              </wp:wrapPolygon>
            </wp:wrapThrough>
            <wp:docPr id="95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44340" cy="29044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A94D31" w14:textId="77777777" w:rsidR="00A565BB" w:rsidRDefault="00AA0E8B" w:rsidP="00AA0E8B">
      <w:pPr>
        <w:spacing w:line="260" w:lineRule="exact"/>
        <w:jc w:val="both"/>
        <w:rPr>
          <w:sz w:val="22"/>
          <w:szCs w:val="22"/>
        </w:rPr>
      </w:pPr>
      <w:r>
        <w:rPr>
          <w:sz w:val="22"/>
          <w:szCs w:val="22"/>
        </w:rPr>
        <w:t xml:space="preserve">   </w:t>
      </w:r>
    </w:p>
    <w:p w14:paraId="450325D8" w14:textId="77777777" w:rsidR="00A565BB" w:rsidRDefault="00A565BB" w:rsidP="00AA0E8B">
      <w:pPr>
        <w:spacing w:line="260" w:lineRule="exact"/>
        <w:jc w:val="both"/>
        <w:rPr>
          <w:sz w:val="22"/>
          <w:szCs w:val="22"/>
        </w:rPr>
      </w:pPr>
    </w:p>
    <w:p w14:paraId="24CFAF87" w14:textId="77777777" w:rsidR="00A565BB" w:rsidRDefault="00A565BB" w:rsidP="00AA0E8B">
      <w:pPr>
        <w:spacing w:line="260" w:lineRule="exact"/>
        <w:jc w:val="both"/>
        <w:rPr>
          <w:sz w:val="22"/>
          <w:szCs w:val="22"/>
        </w:rPr>
      </w:pPr>
    </w:p>
    <w:p w14:paraId="4E8DA2A3" w14:textId="77777777" w:rsidR="00A565BB" w:rsidRDefault="00A565BB" w:rsidP="00AA0E8B">
      <w:pPr>
        <w:spacing w:line="260" w:lineRule="exact"/>
        <w:jc w:val="both"/>
        <w:rPr>
          <w:sz w:val="22"/>
          <w:szCs w:val="22"/>
        </w:rPr>
      </w:pPr>
    </w:p>
    <w:p w14:paraId="2AA523D4" w14:textId="77777777" w:rsidR="00A565BB" w:rsidRDefault="00A565BB" w:rsidP="00AA0E8B">
      <w:pPr>
        <w:spacing w:line="260" w:lineRule="exact"/>
        <w:jc w:val="both"/>
        <w:rPr>
          <w:sz w:val="22"/>
          <w:szCs w:val="22"/>
        </w:rPr>
      </w:pPr>
    </w:p>
    <w:p w14:paraId="1C5C42FA" w14:textId="77777777" w:rsidR="00A565BB" w:rsidRDefault="00A565BB" w:rsidP="00AA0E8B">
      <w:pPr>
        <w:spacing w:line="260" w:lineRule="exact"/>
        <w:jc w:val="both"/>
        <w:rPr>
          <w:sz w:val="22"/>
          <w:szCs w:val="22"/>
        </w:rPr>
      </w:pPr>
    </w:p>
    <w:p w14:paraId="1A8224D3" w14:textId="77777777" w:rsidR="00A565BB" w:rsidRDefault="00A565BB" w:rsidP="00AA0E8B">
      <w:pPr>
        <w:spacing w:line="260" w:lineRule="exact"/>
        <w:jc w:val="both"/>
        <w:rPr>
          <w:sz w:val="22"/>
          <w:szCs w:val="22"/>
        </w:rPr>
      </w:pPr>
    </w:p>
    <w:p w14:paraId="0DCB6861" w14:textId="77777777" w:rsidR="00A565BB" w:rsidRDefault="00A565BB" w:rsidP="00AA0E8B">
      <w:pPr>
        <w:spacing w:line="260" w:lineRule="exact"/>
        <w:jc w:val="both"/>
        <w:rPr>
          <w:sz w:val="22"/>
          <w:szCs w:val="22"/>
        </w:rPr>
      </w:pPr>
    </w:p>
    <w:p w14:paraId="4F700DC8" w14:textId="77777777" w:rsidR="00A565BB" w:rsidRDefault="00A565BB" w:rsidP="00AA0E8B">
      <w:pPr>
        <w:spacing w:line="260" w:lineRule="exact"/>
        <w:jc w:val="both"/>
        <w:rPr>
          <w:sz w:val="22"/>
          <w:szCs w:val="22"/>
        </w:rPr>
      </w:pPr>
    </w:p>
    <w:p w14:paraId="18CD8282" w14:textId="77777777" w:rsidR="00A565BB" w:rsidRDefault="00A565BB" w:rsidP="00AA0E8B">
      <w:pPr>
        <w:spacing w:line="260" w:lineRule="exact"/>
        <w:jc w:val="both"/>
        <w:rPr>
          <w:sz w:val="22"/>
          <w:szCs w:val="22"/>
        </w:rPr>
      </w:pPr>
    </w:p>
    <w:p w14:paraId="1F146854" w14:textId="77777777" w:rsidR="00A565BB" w:rsidRDefault="00A565BB" w:rsidP="00AA0E8B">
      <w:pPr>
        <w:spacing w:line="260" w:lineRule="exact"/>
        <w:jc w:val="both"/>
        <w:rPr>
          <w:sz w:val="22"/>
          <w:szCs w:val="22"/>
        </w:rPr>
      </w:pPr>
    </w:p>
    <w:p w14:paraId="6CF333B5" w14:textId="77777777" w:rsidR="00A565BB" w:rsidRDefault="00A565BB" w:rsidP="00AA0E8B">
      <w:pPr>
        <w:spacing w:line="260" w:lineRule="exact"/>
        <w:jc w:val="both"/>
        <w:rPr>
          <w:sz w:val="22"/>
          <w:szCs w:val="22"/>
        </w:rPr>
      </w:pPr>
    </w:p>
    <w:p w14:paraId="491394C0" w14:textId="77777777" w:rsidR="00A565BB" w:rsidRDefault="00A565BB" w:rsidP="00AA0E8B">
      <w:pPr>
        <w:spacing w:line="260" w:lineRule="exact"/>
        <w:jc w:val="both"/>
        <w:rPr>
          <w:sz w:val="22"/>
          <w:szCs w:val="22"/>
        </w:rPr>
      </w:pPr>
    </w:p>
    <w:p w14:paraId="0F3E561B" w14:textId="77777777" w:rsidR="00A565BB" w:rsidRDefault="00A565BB" w:rsidP="00AA0E8B">
      <w:pPr>
        <w:spacing w:line="260" w:lineRule="exact"/>
        <w:jc w:val="both"/>
        <w:rPr>
          <w:sz w:val="22"/>
          <w:szCs w:val="22"/>
        </w:rPr>
      </w:pPr>
    </w:p>
    <w:p w14:paraId="657A00CE" w14:textId="77777777" w:rsidR="00A565BB" w:rsidRDefault="00A565BB" w:rsidP="00AA0E8B">
      <w:pPr>
        <w:spacing w:line="260" w:lineRule="exact"/>
        <w:jc w:val="both"/>
        <w:rPr>
          <w:sz w:val="22"/>
          <w:szCs w:val="22"/>
        </w:rPr>
      </w:pPr>
    </w:p>
    <w:p w14:paraId="147DC51E" w14:textId="77777777" w:rsidR="00A565BB" w:rsidRDefault="00A565BB" w:rsidP="00AA0E8B">
      <w:pPr>
        <w:spacing w:line="260" w:lineRule="exact"/>
        <w:jc w:val="both"/>
        <w:rPr>
          <w:sz w:val="22"/>
          <w:szCs w:val="22"/>
        </w:rPr>
      </w:pPr>
    </w:p>
    <w:p w14:paraId="37FFC10D" w14:textId="77777777" w:rsidR="00A565BB" w:rsidRDefault="00A565BB" w:rsidP="00AA0E8B">
      <w:pPr>
        <w:spacing w:line="260" w:lineRule="exact"/>
        <w:jc w:val="both"/>
        <w:rPr>
          <w:sz w:val="22"/>
          <w:szCs w:val="22"/>
        </w:rPr>
      </w:pPr>
    </w:p>
    <w:p w14:paraId="699DEF8E" w14:textId="77777777" w:rsidR="00A565BB" w:rsidRDefault="00A565BB" w:rsidP="00AA0E8B">
      <w:pPr>
        <w:spacing w:line="260" w:lineRule="exact"/>
        <w:jc w:val="both"/>
        <w:rPr>
          <w:sz w:val="22"/>
          <w:szCs w:val="22"/>
        </w:rPr>
      </w:pPr>
    </w:p>
    <w:p w14:paraId="6AFC00A3" w14:textId="77777777" w:rsidR="00AA0E8B" w:rsidRDefault="00AA0E8B" w:rsidP="00AA0E8B">
      <w:pPr>
        <w:spacing w:line="260" w:lineRule="exact"/>
        <w:jc w:val="both"/>
        <w:rPr>
          <w:sz w:val="22"/>
          <w:szCs w:val="22"/>
        </w:rPr>
      </w:pPr>
      <w:r>
        <w:rPr>
          <w:sz w:val="22"/>
          <w:szCs w:val="22"/>
        </w:rPr>
        <w:t xml:space="preserve">In linea con la spesa costante per dipendente, il numero di ore in formazione per dipendenti, rimane stabile nel 2012 – 30,3 ore comparato con le 30,5 </w:t>
      </w:r>
      <w:proofErr w:type="gramStart"/>
      <w:r>
        <w:rPr>
          <w:sz w:val="22"/>
          <w:szCs w:val="22"/>
        </w:rPr>
        <w:t>ore</w:t>
      </w:r>
      <w:proofErr w:type="gramEnd"/>
      <w:r>
        <w:rPr>
          <w:sz w:val="22"/>
          <w:szCs w:val="22"/>
        </w:rPr>
        <w:t xml:space="preserve"> nel 2011. Rispetto al 2011, però, c’è un dato che fa riflettere ed è quello che ATD definisce come “</w:t>
      </w:r>
      <w:proofErr w:type="spellStart"/>
      <w:r>
        <w:rPr>
          <w:sz w:val="22"/>
          <w:szCs w:val="22"/>
        </w:rPr>
        <w:t>reuse</w:t>
      </w:r>
      <w:proofErr w:type="spellEnd"/>
      <w:r>
        <w:rPr>
          <w:sz w:val="22"/>
          <w:szCs w:val="22"/>
        </w:rPr>
        <w:t xml:space="preserve"> ratio” passato dal 52,8 del 2011 al 47,5 nel 2012. Questo dato mette in rapporto il numero di ore di formazione utilizzate rispetto al numero di ore di formazione disponibili.   Un “</w:t>
      </w:r>
      <w:proofErr w:type="spellStart"/>
      <w:r>
        <w:rPr>
          <w:sz w:val="22"/>
          <w:szCs w:val="22"/>
        </w:rPr>
        <w:t>reuse</w:t>
      </w:r>
      <w:proofErr w:type="spellEnd"/>
      <w:r>
        <w:rPr>
          <w:sz w:val="22"/>
          <w:szCs w:val="22"/>
        </w:rPr>
        <w:t xml:space="preserve"> ratio” attorno al </w:t>
      </w:r>
      <w:proofErr w:type="gramStart"/>
      <w:r>
        <w:rPr>
          <w:sz w:val="22"/>
          <w:szCs w:val="22"/>
        </w:rPr>
        <w:t>50</w:t>
      </w:r>
      <w:proofErr w:type="gramEnd"/>
      <w:r>
        <w:rPr>
          <w:sz w:val="22"/>
          <w:szCs w:val="22"/>
        </w:rPr>
        <w:t xml:space="preserve"> indica che le organizzazioni stanno producendo nuovi contenuti, e che questi sono utilizzati. Un basso valore indica che sono creati nuovi contenuti ma che non sono utilizzati dai dipendenti delle imprese e non sono distribuiti, e un valore alto indica che i programmi formativi sono utilizzati da molti dipendenti, ma che ci sono poche nuove offerte. </w:t>
      </w:r>
    </w:p>
    <w:p w14:paraId="60B15630" w14:textId="77777777" w:rsidR="00AA0E8B" w:rsidRDefault="00AA0E8B" w:rsidP="00AA0E8B">
      <w:pPr>
        <w:spacing w:line="260" w:lineRule="exact"/>
        <w:jc w:val="both"/>
        <w:rPr>
          <w:sz w:val="22"/>
          <w:szCs w:val="22"/>
        </w:rPr>
      </w:pPr>
    </w:p>
    <w:p w14:paraId="0E445BB6" w14:textId="77777777" w:rsidR="00AA0E8B" w:rsidRDefault="00AA0E8B" w:rsidP="00AA0E8B">
      <w:pPr>
        <w:spacing w:line="260" w:lineRule="exact"/>
        <w:jc w:val="both"/>
        <w:rPr>
          <w:sz w:val="22"/>
          <w:szCs w:val="22"/>
        </w:rPr>
      </w:pPr>
    </w:p>
    <w:p w14:paraId="6F7F1AA6" w14:textId="77777777" w:rsidR="00A565BB" w:rsidRDefault="00A565BB" w:rsidP="00AA0E8B">
      <w:pPr>
        <w:spacing w:line="260" w:lineRule="exact"/>
        <w:jc w:val="both"/>
        <w:rPr>
          <w:sz w:val="22"/>
          <w:szCs w:val="22"/>
        </w:rPr>
      </w:pPr>
    </w:p>
    <w:p w14:paraId="7A2E41B8" w14:textId="77777777" w:rsidR="00A565BB" w:rsidRDefault="00A565BB" w:rsidP="00AA0E8B">
      <w:pPr>
        <w:spacing w:line="260" w:lineRule="exact"/>
        <w:jc w:val="both"/>
        <w:rPr>
          <w:sz w:val="22"/>
          <w:szCs w:val="22"/>
        </w:rPr>
      </w:pPr>
    </w:p>
    <w:p w14:paraId="5B9C33F1" w14:textId="77777777" w:rsidR="00A565BB" w:rsidRDefault="00A565BB" w:rsidP="00AA0E8B">
      <w:pPr>
        <w:spacing w:line="260" w:lineRule="exact"/>
        <w:jc w:val="both"/>
        <w:rPr>
          <w:sz w:val="22"/>
          <w:szCs w:val="22"/>
        </w:rPr>
      </w:pPr>
    </w:p>
    <w:p w14:paraId="12818762" w14:textId="77777777" w:rsidR="00A565BB" w:rsidRDefault="00A565BB" w:rsidP="00AA0E8B">
      <w:pPr>
        <w:spacing w:line="260" w:lineRule="exact"/>
        <w:jc w:val="both"/>
        <w:rPr>
          <w:sz w:val="22"/>
          <w:szCs w:val="22"/>
        </w:rPr>
      </w:pPr>
    </w:p>
    <w:p w14:paraId="0E33847C" w14:textId="77777777" w:rsidR="00A565BB" w:rsidRDefault="00A565BB" w:rsidP="00AA0E8B">
      <w:pPr>
        <w:spacing w:line="260" w:lineRule="exact"/>
        <w:jc w:val="both"/>
        <w:rPr>
          <w:sz w:val="22"/>
          <w:szCs w:val="22"/>
        </w:rPr>
      </w:pPr>
    </w:p>
    <w:p w14:paraId="696E4044"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3 –</w:t>
      </w:r>
      <w:r w:rsidRPr="00D63E9A">
        <w:rPr>
          <w:rFonts w:ascii="Arial" w:hAnsi="Arial" w:cs="Arial"/>
          <w:b/>
          <w:sz w:val="20"/>
          <w:szCs w:val="20"/>
        </w:rPr>
        <w:t xml:space="preserve"> </w:t>
      </w:r>
      <w:r>
        <w:rPr>
          <w:rFonts w:ascii="Arial" w:hAnsi="Arial" w:cs="Arial"/>
          <w:b/>
          <w:sz w:val="20"/>
          <w:szCs w:val="20"/>
        </w:rPr>
        <w:t xml:space="preserve">Media del </w:t>
      </w:r>
      <w:proofErr w:type="spellStart"/>
      <w:r>
        <w:rPr>
          <w:rFonts w:ascii="Arial" w:hAnsi="Arial" w:cs="Arial"/>
          <w:b/>
          <w:sz w:val="20"/>
          <w:szCs w:val="20"/>
        </w:rPr>
        <w:t>Reuse</w:t>
      </w:r>
      <w:proofErr w:type="spellEnd"/>
      <w:r>
        <w:rPr>
          <w:rFonts w:ascii="Arial" w:hAnsi="Arial" w:cs="Arial"/>
          <w:b/>
          <w:sz w:val="20"/>
          <w:szCs w:val="20"/>
        </w:rPr>
        <w:t xml:space="preserve"> Ratio (ore di formazione utilizzate su ore di formazione disponibili) - 2012</w:t>
      </w:r>
    </w:p>
    <w:p w14:paraId="45A46BE3" w14:textId="77777777" w:rsidR="00AA0E8B" w:rsidRDefault="00AA0E8B" w:rsidP="00AA0E8B">
      <w:pPr>
        <w:spacing w:line="260" w:lineRule="exact"/>
        <w:jc w:val="both"/>
        <w:rPr>
          <w:sz w:val="22"/>
          <w:szCs w:val="22"/>
        </w:rPr>
      </w:pPr>
    </w:p>
    <w:p w14:paraId="4FCBAE9E" w14:textId="77777777" w:rsidR="00AA0E8B" w:rsidRDefault="00AA0E8B" w:rsidP="00AA0E8B">
      <w:pPr>
        <w:spacing w:line="260" w:lineRule="exact"/>
        <w:jc w:val="both"/>
        <w:rPr>
          <w:sz w:val="22"/>
          <w:szCs w:val="22"/>
        </w:rPr>
      </w:pPr>
      <w:r w:rsidRPr="00BE1C87">
        <w:rPr>
          <w:noProof/>
        </w:rPr>
        <w:drawing>
          <wp:anchor distT="0" distB="0" distL="114300" distR="114300" simplePos="0" relativeHeight="251661312" behindDoc="0" locked="0" layoutInCell="1" allowOverlap="1" wp14:anchorId="069C6095" wp14:editId="3831F47E">
            <wp:simplePos x="0" y="0"/>
            <wp:positionH relativeFrom="column">
              <wp:posOffset>0</wp:posOffset>
            </wp:positionH>
            <wp:positionV relativeFrom="paragraph">
              <wp:posOffset>0</wp:posOffset>
            </wp:positionV>
            <wp:extent cx="4244340" cy="3115945"/>
            <wp:effectExtent l="0" t="0" r="0" b="8255"/>
            <wp:wrapThrough wrapText="bothSides">
              <wp:wrapPolygon edited="0">
                <wp:start x="0" y="0"/>
                <wp:lineTo x="0" y="21481"/>
                <wp:lineTo x="21458" y="21481"/>
                <wp:lineTo x="21458" y="0"/>
                <wp:lineTo x="0" y="0"/>
              </wp:wrapPolygon>
            </wp:wrapThrough>
            <wp:docPr id="95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4340" cy="3115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3F6C45B" w14:textId="77777777" w:rsidR="00A565BB" w:rsidRDefault="00AA0E8B" w:rsidP="00AA0E8B">
      <w:pPr>
        <w:spacing w:line="260" w:lineRule="exact"/>
        <w:jc w:val="both"/>
        <w:rPr>
          <w:sz w:val="22"/>
          <w:szCs w:val="22"/>
        </w:rPr>
      </w:pPr>
      <w:r>
        <w:rPr>
          <w:sz w:val="22"/>
          <w:szCs w:val="22"/>
        </w:rPr>
        <w:t xml:space="preserve">   </w:t>
      </w:r>
    </w:p>
    <w:p w14:paraId="3CD7B28C" w14:textId="77777777" w:rsidR="00A565BB" w:rsidRDefault="00A565BB" w:rsidP="00AA0E8B">
      <w:pPr>
        <w:spacing w:line="260" w:lineRule="exact"/>
        <w:jc w:val="both"/>
        <w:rPr>
          <w:sz w:val="22"/>
          <w:szCs w:val="22"/>
        </w:rPr>
      </w:pPr>
    </w:p>
    <w:p w14:paraId="39E97662" w14:textId="77777777" w:rsidR="00A565BB" w:rsidRDefault="00A565BB" w:rsidP="00AA0E8B">
      <w:pPr>
        <w:spacing w:line="260" w:lineRule="exact"/>
        <w:jc w:val="both"/>
        <w:rPr>
          <w:sz w:val="22"/>
          <w:szCs w:val="22"/>
        </w:rPr>
      </w:pPr>
    </w:p>
    <w:p w14:paraId="4C6F590E" w14:textId="77777777" w:rsidR="00A565BB" w:rsidRDefault="00A565BB" w:rsidP="00AA0E8B">
      <w:pPr>
        <w:spacing w:line="260" w:lineRule="exact"/>
        <w:jc w:val="both"/>
        <w:rPr>
          <w:sz w:val="22"/>
          <w:szCs w:val="22"/>
        </w:rPr>
      </w:pPr>
    </w:p>
    <w:p w14:paraId="66B8448D" w14:textId="77777777" w:rsidR="00A565BB" w:rsidRDefault="00A565BB" w:rsidP="00AA0E8B">
      <w:pPr>
        <w:spacing w:line="260" w:lineRule="exact"/>
        <w:jc w:val="both"/>
        <w:rPr>
          <w:sz w:val="22"/>
          <w:szCs w:val="22"/>
        </w:rPr>
      </w:pPr>
    </w:p>
    <w:p w14:paraId="462AC697" w14:textId="77777777" w:rsidR="00A565BB" w:rsidRDefault="00A565BB" w:rsidP="00AA0E8B">
      <w:pPr>
        <w:spacing w:line="260" w:lineRule="exact"/>
        <w:jc w:val="both"/>
        <w:rPr>
          <w:sz w:val="22"/>
          <w:szCs w:val="22"/>
        </w:rPr>
      </w:pPr>
    </w:p>
    <w:p w14:paraId="721161E0" w14:textId="77777777" w:rsidR="00A565BB" w:rsidRDefault="00A565BB" w:rsidP="00AA0E8B">
      <w:pPr>
        <w:spacing w:line="260" w:lineRule="exact"/>
        <w:jc w:val="both"/>
        <w:rPr>
          <w:sz w:val="22"/>
          <w:szCs w:val="22"/>
        </w:rPr>
      </w:pPr>
    </w:p>
    <w:p w14:paraId="1FE4B21B" w14:textId="77777777" w:rsidR="00A565BB" w:rsidRDefault="00A565BB" w:rsidP="00AA0E8B">
      <w:pPr>
        <w:spacing w:line="260" w:lineRule="exact"/>
        <w:jc w:val="both"/>
        <w:rPr>
          <w:sz w:val="22"/>
          <w:szCs w:val="22"/>
        </w:rPr>
      </w:pPr>
    </w:p>
    <w:p w14:paraId="239186A9" w14:textId="77777777" w:rsidR="00A565BB" w:rsidRDefault="00A565BB" w:rsidP="00AA0E8B">
      <w:pPr>
        <w:spacing w:line="260" w:lineRule="exact"/>
        <w:jc w:val="both"/>
        <w:rPr>
          <w:sz w:val="22"/>
          <w:szCs w:val="22"/>
        </w:rPr>
      </w:pPr>
    </w:p>
    <w:p w14:paraId="20E7B47F" w14:textId="77777777" w:rsidR="00A565BB" w:rsidRDefault="00A565BB" w:rsidP="00AA0E8B">
      <w:pPr>
        <w:spacing w:line="260" w:lineRule="exact"/>
        <w:jc w:val="both"/>
        <w:rPr>
          <w:sz w:val="22"/>
          <w:szCs w:val="22"/>
        </w:rPr>
      </w:pPr>
    </w:p>
    <w:p w14:paraId="74044154" w14:textId="77777777" w:rsidR="00A565BB" w:rsidRDefault="00A565BB" w:rsidP="00AA0E8B">
      <w:pPr>
        <w:spacing w:line="260" w:lineRule="exact"/>
        <w:jc w:val="both"/>
        <w:rPr>
          <w:sz w:val="22"/>
          <w:szCs w:val="22"/>
        </w:rPr>
      </w:pPr>
    </w:p>
    <w:p w14:paraId="624B2182" w14:textId="77777777" w:rsidR="00A565BB" w:rsidRDefault="00A565BB" w:rsidP="00AA0E8B">
      <w:pPr>
        <w:spacing w:line="260" w:lineRule="exact"/>
        <w:jc w:val="both"/>
        <w:rPr>
          <w:sz w:val="22"/>
          <w:szCs w:val="22"/>
        </w:rPr>
      </w:pPr>
    </w:p>
    <w:p w14:paraId="77516AF0" w14:textId="77777777" w:rsidR="00A565BB" w:rsidRDefault="00A565BB" w:rsidP="00AA0E8B">
      <w:pPr>
        <w:spacing w:line="260" w:lineRule="exact"/>
        <w:jc w:val="both"/>
        <w:rPr>
          <w:sz w:val="22"/>
          <w:szCs w:val="22"/>
        </w:rPr>
      </w:pPr>
    </w:p>
    <w:p w14:paraId="09807CEA" w14:textId="77777777" w:rsidR="00A565BB" w:rsidRDefault="00A565BB" w:rsidP="00AA0E8B">
      <w:pPr>
        <w:spacing w:line="260" w:lineRule="exact"/>
        <w:jc w:val="both"/>
        <w:rPr>
          <w:sz w:val="22"/>
          <w:szCs w:val="22"/>
        </w:rPr>
      </w:pPr>
    </w:p>
    <w:p w14:paraId="2144DD13" w14:textId="77777777" w:rsidR="00A565BB" w:rsidRDefault="00A565BB" w:rsidP="00AA0E8B">
      <w:pPr>
        <w:spacing w:line="260" w:lineRule="exact"/>
        <w:jc w:val="both"/>
        <w:rPr>
          <w:sz w:val="22"/>
          <w:szCs w:val="22"/>
        </w:rPr>
      </w:pPr>
    </w:p>
    <w:p w14:paraId="69E1E0FD" w14:textId="77777777" w:rsidR="00A565BB" w:rsidRDefault="00A565BB" w:rsidP="00AA0E8B">
      <w:pPr>
        <w:spacing w:line="260" w:lineRule="exact"/>
        <w:jc w:val="both"/>
        <w:rPr>
          <w:sz w:val="22"/>
          <w:szCs w:val="22"/>
        </w:rPr>
      </w:pPr>
    </w:p>
    <w:p w14:paraId="198147DE" w14:textId="77777777" w:rsidR="00A565BB" w:rsidRDefault="00A565BB" w:rsidP="00AA0E8B">
      <w:pPr>
        <w:spacing w:line="260" w:lineRule="exact"/>
        <w:jc w:val="both"/>
        <w:rPr>
          <w:sz w:val="22"/>
          <w:szCs w:val="22"/>
        </w:rPr>
      </w:pPr>
    </w:p>
    <w:p w14:paraId="0FAED017" w14:textId="77777777" w:rsidR="00A565BB" w:rsidRDefault="00A565BB" w:rsidP="00AA0E8B">
      <w:pPr>
        <w:spacing w:line="260" w:lineRule="exact"/>
        <w:jc w:val="both"/>
        <w:rPr>
          <w:sz w:val="22"/>
          <w:szCs w:val="22"/>
        </w:rPr>
      </w:pPr>
    </w:p>
    <w:p w14:paraId="4071BDEC" w14:textId="77777777" w:rsidR="00A565BB" w:rsidRDefault="00A565BB" w:rsidP="00AA0E8B">
      <w:pPr>
        <w:spacing w:line="260" w:lineRule="exact"/>
        <w:jc w:val="both"/>
        <w:rPr>
          <w:sz w:val="22"/>
          <w:szCs w:val="22"/>
        </w:rPr>
      </w:pPr>
    </w:p>
    <w:p w14:paraId="668FF015" w14:textId="77777777" w:rsidR="00A565BB" w:rsidRDefault="00A565BB" w:rsidP="00AA0E8B">
      <w:pPr>
        <w:spacing w:line="260" w:lineRule="exact"/>
        <w:jc w:val="both"/>
        <w:rPr>
          <w:sz w:val="22"/>
          <w:szCs w:val="22"/>
        </w:rPr>
      </w:pPr>
    </w:p>
    <w:p w14:paraId="3AFA3E4E" w14:textId="77777777" w:rsidR="00A565BB" w:rsidRDefault="00A565BB" w:rsidP="00AA0E8B">
      <w:pPr>
        <w:spacing w:line="260" w:lineRule="exact"/>
        <w:jc w:val="both"/>
        <w:rPr>
          <w:sz w:val="22"/>
          <w:szCs w:val="22"/>
        </w:rPr>
      </w:pPr>
    </w:p>
    <w:p w14:paraId="2D3506A9" w14:textId="77777777" w:rsidR="00A565BB" w:rsidRDefault="00A565BB" w:rsidP="00AA0E8B">
      <w:pPr>
        <w:spacing w:line="260" w:lineRule="exact"/>
        <w:jc w:val="both"/>
        <w:rPr>
          <w:sz w:val="22"/>
          <w:szCs w:val="22"/>
        </w:rPr>
      </w:pPr>
    </w:p>
    <w:p w14:paraId="664D5071" w14:textId="77777777" w:rsidR="00A565BB" w:rsidRDefault="00A565BB" w:rsidP="00AA0E8B">
      <w:pPr>
        <w:spacing w:line="260" w:lineRule="exact"/>
        <w:jc w:val="both"/>
        <w:rPr>
          <w:sz w:val="22"/>
          <w:szCs w:val="22"/>
        </w:rPr>
      </w:pPr>
    </w:p>
    <w:p w14:paraId="3F13F118" w14:textId="77777777" w:rsidR="00A565BB" w:rsidRDefault="00A565BB" w:rsidP="00AA0E8B">
      <w:pPr>
        <w:spacing w:line="260" w:lineRule="exact"/>
        <w:jc w:val="both"/>
        <w:rPr>
          <w:sz w:val="22"/>
          <w:szCs w:val="22"/>
        </w:rPr>
      </w:pPr>
    </w:p>
    <w:p w14:paraId="7B14EAB9" w14:textId="77777777" w:rsidR="00A565BB" w:rsidRDefault="00A565BB" w:rsidP="00AA0E8B">
      <w:pPr>
        <w:spacing w:line="260" w:lineRule="exact"/>
        <w:jc w:val="both"/>
        <w:rPr>
          <w:sz w:val="22"/>
          <w:szCs w:val="22"/>
        </w:rPr>
      </w:pPr>
    </w:p>
    <w:p w14:paraId="6C7DC692" w14:textId="77777777" w:rsidR="00A565BB" w:rsidRDefault="00A565BB" w:rsidP="00AA0E8B">
      <w:pPr>
        <w:spacing w:line="260" w:lineRule="exact"/>
        <w:jc w:val="both"/>
        <w:rPr>
          <w:sz w:val="22"/>
          <w:szCs w:val="22"/>
        </w:rPr>
      </w:pPr>
    </w:p>
    <w:p w14:paraId="3037C98C" w14:textId="77777777" w:rsidR="00A565BB" w:rsidRDefault="00A565BB" w:rsidP="00AA0E8B">
      <w:pPr>
        <w:spacing w:line="260" w:lineRule="exact"/>
        <w:jc w:val="both"/>
        <w:rPr>
          <w:sz w:val="22"/>
          <w:szCs w:val="22"/>
        </w:rPr>
      </w:pPr>
    </w:p>
    <w:p w14:paraId="673BD919" w14:textId="77777777" w:rsidR="00AA0E8B" w:rsidRPr="00D60482" w:rsidRDefault="00AA0E8B" w:rsidP="00AA0E8B">
      <w:pPr>
        <w:spacing w:line="260" w:lineRule="exact"/>
        <w:jc w:val="both"/>
        <w:rPr>
          <w:sz w:val="22"/>
          <w:szCs w:val="22"/>
        </w:rPr>
      </w:pPr>
      <w:r>
        <w:rPr>
          <w:sz w:val="22"/>
          <w:szCs w:val="22"/>
        </w:rPr>
        <w:t xml:space="preserve">La figura di seguito illustra i contenuti </w:t>
      </w:r>
      <w:proofErr w:type="gramStart"/>
      <w:r>
        <w:rPr>
          <w:sz w:val="22"/>
          <w:szCs w:val="22"/>
        </w:rPr>
        <w:t>a cui</w:t>
      </w:r>
      <w:proofErr w:type="gramEnd"/>
      <w:r>
        <w:rPr>
          <w:sz w:val="22"/>
          <w:szCs w:val="22"/>
        </w:rPr>
        <w:t xml:space="preserve"> si è rivolta la formazione: lo schema suddivide le aziende che hanno risposto alla </w:t>
      </w:r>
      <w:proofErr w:type="spellStart"/>
      <w:r>
        <w:rPr>
          <w:sz w:val="22"/>
          <w:szCs w:val="22"/>
        </w:rPr>
        <w:t>survey</w:t>
      </w:r>
      <w:proofErr w:type="spellEnd"/>
      <w:r>
        <w:rPr>
          <w:sz w:val="22"/>
          <w:szCs w:val="22"/>
        </w:rPr>
        <w:t xml:space="preserve"> di ATD con le G500 ossia le Fortune Global 500 aziende. Come si può notare, i contenuti formativi su cui </w:t>
      </w:r>
      <w:proofErr w:type="gramStart"/>
      <w:r>
        <w:rPr>
          <w:sz w:val="22"/>
          <w:szCs w:val="22"/>
        </w:rPr>
        <w:t xml:space="preserve">si </w:t>
      </w:r>
      <w:proofErr w:type="gramEnd"/>
      <w:r>
        <w:rPr>
          <w:sz w:val="22"/>
          <w:szCs w:val="22"/>
        </w:rPr>
        <w:t xml:space="preserve">investe di più sono la formazione rivolta ai manager e ai supervisori, vendite, e poi processi e procedure specifiche per professioni o settori. </w:t>
      </w:r>
    </w:p>
    <w:p w14:paraId="7E047ABB" w14:textId="77777777" w:rsidR="00A565BB" w:rsidRDefault="00A565BB" w:rsidP="00AA0E8B">
      <w:pPr>
        <w:jc w:val="both"/>
        <w:rPr>
          <w:rFonts w:ascii="Arial" w:hAnsi="Arial" w:cs="Arial"/>
          <w:b/>
          <w:sz w:val="20"/>
          <w:szCs w:val="20"/>
        </w:rPr>
      </w:pPr>
    </w:p>
    <w:p w14:paraId="0CE5524C" w14:textId="77777777" w:rsidR="00A565BB" w:rsidRDefault="00A565BB" w:rsidP="00AA0E8B">
      <w:pPr>
        <w:jc w:val="both"/>
        <w:rPr>
          <w:rFonts w:ascii="Arial" w:hAnsi="Arial" w:cs="Arial"/>
          <w:b/>
          <w:sz w:val="20"/>
          <w:szCs w:val="20"/>
        </w:rPr>
      </w:pPr>
    </w:p>
    <w:p w14:paraId="5492D28C" w14:textId="77777777" w:rsidR="00A565BB" w:rsidRDefault="00A565BB" w:rsidP="00AA0E8B">
      <w:pPr>
        <w:jc w:val="both"/>
        <w:rPr>
          <w:rFonts w:ascii="Arial" w:hAnsi="Arial" w:cs="Arial"/>
          <w:b/>
          <w:sz w:val="20"/>
          <w:szCs w:val="20"/>
        </w:rPr>
      </w:pPr>
    </w:p>
    <w:p w14:paraId="1FA433C1" w14:textId="77777777" w:rsidR="00A565BB" w:rsidRDefault="00A565BB" w:rsidP="00AA0E8B">
      <w:pPr>
        <w:jc w:val="both"/>
        <w:rPr>
          <w:rFonts w:ascii="Arial" w:hAnsi="Arial" w:cs="Arial"/>
          <w:b/>
          <w:sz w:val="20"/>
          <w:szCs w:val="20"/>
        </w:rPr>
      </w:pPr>
    </w:p>
    <w:p w14:paraId="7962465B" w14:textId="77777777" w:rsidR="00A565BB" w:rsidRDefault="00A565BB" w:rsidP="00AA0E8B">
      <w:pPr>
        <w:jc w:val="both"/>
        <w:rPr>
          <w:rFonts w:ascii="Arial" w:hAnsi="Arial" w:cs="Arial"/>
          <w:b/>
          <w:sz w:val="20"/>
          <w:szCs w:val="20"/>
        </w:rPr>
      </w:pPr>
    </w:p>
    <w:p w14:paraId="4A3209B1" w14:textId="77777777" w:rsidR="00A565BB" w:rsidRDefault="00A565BB" w:rsidP="00AA0E8B">
      <w:pPr>
        <w:jc w:val="both"/>
        <w:rPr>
          <w:rFonts w:ascii="Arial" w:hAnsi="Arial" w:cs="Arial"/>
          <w:b/>
          <w:sz w:val="20"/>
          <w:szCs w:val="20"/>
        </w:rPr>
      </w:pPr>
    </w:p>
    <w:p w14:paraId="7CAAB638" w14:textId="77777777" w:rsidR="00A565BB" w:rsidRDefault="00A565BB" w:rsidP="00AA0E8B">
      <w:pPr>
        <w:jc w:val="both"/>
        <w:rPr>
          <w:rFonts w:ascii="Arial" w:hAnsi="Arial" w:cs="Arial"/>
          <w:b/>
          <w:sz w:val="20"/>
          <w:szCs w:val="20"/>
        </w:rPr>
      </w:pPr>
    </w:p>
    <w:p w14:paraId="3C1D8A44" w14:textId="77777777" w:rsidR="00A565BB" w:rsidRDefault="00A565BB" w:rsidP="00AA0E8B">
      <w:pPr>
        <w:jc w:val="both"/>
        <w:rPr>
          <w:rFonts w:ascii="Arial" w:hAnsi="Arial" w:cs="Arial"/>
          <w:b/>
          <w:sz w:val="20"/>
          <w:szCs w:val="20"/>
        </w:rPr>
      </w:pPr>
    </w:p>
    <w:p w14:paraId="544E195C" w14:textId="77777777" w:rsidR="00A565BB" w:rsidRDefault="00A565BB" w:rsidP="00AA0E8B">
      <w:pPr>
        <w:jc w:val="both"/>
        <w:rPr>
          <w:rFonts w:ascii="Arial" w:hAnsi="Arial" w:cs="Arial"/>
          <w:b/>
          <w:sz w:val="20"/>
          <w:szCs w:val="20"/>
        </w:rPr>
      </w:pPr>
    </w:p>
    <w:p w14:paraId="532FC346" w14:textId="77777777" w:rsidR="00A565BB" w:rsidRDefault="00A565BB" w:rsidP="00AA0E8B">
      <w:pPr>
        <w:jc w:val="both"/>
        <w:rPr>
          <w:rFonts w:ascii="Arial" w:hAnsi="Arial" w:cs="Arial"/>
          <w:b/>
          <w:sz w:val="20"/>
          <w:szCs w:val="20"/>
        </w:rPr>
      </w:pPr>
    </w:p>
    <w:p w14:paraId="6A634100" w14:textId="77777777" w:rsidR="00A565BB" w:rsidRDefault="00A565BB" w:rsidP="00AA0E8B">
      <w:pPr>
        <w:jc w:val="both"/>
        <w:rPr>
          <w:rFonts w:ascii="Arial" w:hAnsi="Arial" w:cs="Arial"/>
          <w:b/>
          <w:sz w:val="20"/>
          <w:szCs w:val="20"/>
        </w:rPr>
      </w:pPr>
    </w:p>
    <w:p w14:paraId="7CC17E67" w14:textId="77777777" w:rsidR="00A565BB" w:rsidRDefault="00A565BB" w:rsidP="00AA0E8B">
      <w:pPr>
        <w:jc w:val="both"/>
        <w:rPr>
          <w:rFonts w:ascii="Arial" w:hAnsi="Arial" w:cs="Arial"/>
          <w:b/>
          <w:sz w:val="20"/>
          <w:szCs w:val="20"/>
        </w:rPr>
      </w:pPr>
    </w:p>
    <w:p w14:paraId="261B3AB8" w14:textId="77777777" w:rsidR="00A565BB" w:rsidRDefault="00A565BB" w:rsidP="00AA0E8B">
      <w:pPr>
        <w:jc w:val="both"/>
        <w:rPr>
          <w:rFonts w:ascii="Arial" w:hAnsi="Arial" w:cs="Arial"/>
          <w:b/>
          <w:sz w:val="20"/>
          <w:szCs w:val="20"/>
        </w:rPr>
      </w:pPr>
    </w:p>
    <w:p w14:paraId="7DA85DB6" w14:textId="77777777" w:rsidR="00A565BB" w:rsidRDefault="00A565BB" w:rsidP="00AA0E8B">
      <w:pPr>
        <w:jc w:val="both"/>
        <w:rPr>
          <w:rFonts w:ascii="Arial" w:hAnsi="Arial" w:cs="Arial"/>
          <w:b/>
          <w:sz w:val="20"/>
          <w:szCs w:val="20"/>
        </w:rPr>
      </w:pPr>
    </w:p>
    <w:p w14:paraId="3F200A26" w14:textId="77777777" w:rsidR="00A565BB" w:rsidRDefault="00A565BB" w:rsidP="00AA0E8B">
      <w:pPr>
        <w:jc w:val="both"/>
        <w:rPr>
          <w:rFonts w:ascii="Arial" w:hAnsi="Arial" w:cs="Arial"/>
          <w:b/>
          <w:sz w:val="20"/>
          <w:szCs w:val="20"/>
        </w:rPr>
      </w:pPr>
    </w:p>
    <w:p w14:paraId="4B323789" w14:textId="77777777" w:rsidR="00A565BB" w:rsidRDefault="00A565BB" w:rsidP="00AA0E8B">
      <w:pPr>
        <w:jc w:val="both"/>
        <w:rPr>
          <w:rFonts w:ascii="Arial" w:hAnsi="Arial" w:cs="Arial"/>
          <w:b/>
          <w:sz w:val="20"/>
          <w:szCs w:val="20"/>
        </w:rPr>
      </w:pPr>
    </w:p>
    <w:p w14:paraId="6089538A" w14:textId="77777777" w:rsidR="00A565BB" w:rsidRDefault="00A565BB" w:rsidP="00AA0E8B">
      <w:pPr>
        <w:jc w:val="both"/>
        <w:rPr>
          <w:rFonts w:ascii="Arial" w:hAnsi="Arial" w:cs="Arial"/>
          <w:b/>
          <w:sz w:val="20"/>
          <w:szCs w:val="20"/>
        </w:rPr>
      </w:pPr>
    </w:p>
    <w:p w14:paraId="0F56CDFF" w14:textId="77777777" w:rsidR="00A565BB" w:rsidRDefault="00A565BB" w:rsidP="00AA0E8B">
      <w:pPr>
        <w:jc w:val="both"/>
        <w:rPr>
          <w:rFonts w:ascii="Arial" w:hAnsi="Arial" w:cs="Arial"/>
          <w:b/>
          <w:sz w:val="20"/>
          <w:szCs w:val="20"/>
        </w:rPr>
      </w:pPr>
    </w:p>
    <w:p w14:paraId="10296297" w14:textId="77777777" w:rsidR="00A565BB" w:rsidRDefault="00A565BB" w:rsidP="00AA0E8B">
      <w:pPr>
        <w:jc w:val="both"/>
        <w:rPr>
          <w:rFonts w:ascii="Arial" w:hAnsi="Arial" w:cs="Arial"/>
          <w:b/>
          <w:sz w:val="20"/>
          <w:szCs w:val="20"/>
        </w:rPr>
      </w:pPr>
    </w:p>
    <w:p w14:paraId="1EB8021D" w14:textId="77777777" w:rsidR="00A565BB" w:rsidRDefault="00A565BB" w:rsidP="00AA0E8B">
      <w:pPr>
        <w:jc w:val="both"/>
        <w:rPr>
          <w:rFonts w:ascii="Arial" w:hAnsi="Arial" w:cs="Arial"/>
          <w:b/>
          <w:sz w:val="20"/>
          <w:szCs w:val="20"/>
        </w:rPr>
      </w:pPr>
    </w:p>
    <w:p w14:paraId="1435E269" w14:textId="77777777" w:rsidR="00A565BB" w:rsidRDefault="00A565BB" w:rsidP="00AA0E8B">
      <w:pPr>
        <w:jc w:val="both"/>
        <w:rPr>
          <w:rFonts w:ascii="Arial" w:hAnsi="Arial" w:cs="Arial"/>
          <w:b/>
          <w:sz w:val="20"/>
          <w:szCs w:val="20"/>
        </w:rPr>
      </w:pPr>
    </w:p>
    <w:p w14:paraId="723BA1BF" w14:textId="77777777" w:rsidR="00A565BB" w:rsidRDefault="00A565BB" w:rsidP="00AA0E8B">
      <w:pPr>
        <w:jc w:val="both"/>
        <w:rPr>
          <w:rFonts w:ascii="Arial" w:hAnsi="Arial" w:cs="Arial"/>
          <w:b/>
          <w:sz w:val="20"/>
          <w:szCs w:val="20"/>
        </w:rPr>
      </w:pPr>
    </w:p>
    <w:p w14:paraId="74B900CA" w14:textId="77777777" w:rsidR="00A565BB" w:rsidRDefault="00A565BB" w:rsidP="00AA0E8B">
      <w:pPr>
        <w:jc w:val="both"/>
        <w:rPr>
          <w:rFonts w:ascii="Arial" w:hAnsi="Arial" w:cs="Arial"/>
          <w:b/>
          <w:sz w:val="20"/>
          <w:szCs w:val="20"/>
        </w:rPr>
      </w:pPr>
    </w:p>
    <w:p w14:paraId="78602E81" w14:textId="77777777" w:rsidR="00A565BB" w:rsidRDefault="00A565BB" w:rsidP="00AA0E8B">
      <w:pPr>
        <w:jc w:val="both"/>
        <w:rPr>
          <w:rFonts w:ascii="Arial" w:hAnsi="Arial" w:cs="Arial"/>
          <w:b/>
          <w:sz w:val="20"/>
          <w:szCs w:val="20"/>
        </w:rPr>
      </w:pPr>
    </w:p>
    <w:p w14:paraId="1CE50513"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4 –</w:t>
      </w:r>
      <w:r w:rsidRPr="00D63E9A">
        <w:rPr>
          <w:rFonts w:ascii="Arial" w:hAnsi="Arial" w:cs="Arial"/>
          <w:b/>
          <w:sz w:val="20"/>
          <w:szCs w:val="20"/>
        </w:rPr>
        <w:t xml:space="preserve"> </w:t>
      </w:r>
      <w:r>
        <w:rPr>
          <w:rFonts w:ascii="Arial" w:hAnsi="Arial" w:cs="Arial"/>
          <w:b/>
          <w:sz w:val="20"/>
          <w:szCs w:val="20"/>
        </w:rPr>
        <w:t>Percentuale media dei contenuti formativi suddivisi per aree - 2012</w:t>
      </w:r>
    </w:p>
    <w:p w14:paraId="19006745" w14:textId="77777777" w:rsidR="00AA0E8B" w:rsidRDefault="00AA0E8B" w:rsidP="00AA0E8B">
      <w:pPr>
        <w:jc w:val="both"/>
        <w:rPr>
          <w:rFonts w:ascii="Arial" w:hAnsi="Arial" w:cs="Arial"/>
          <w:b/>
          <w:sz w:val="20"/>
          <w:szCs w:val="20"/>
        </w:rPr>
      </w:pPr>
      <w:r w:rsidRPr="00E07F37">
        <w:rPr>
          <w:noProof/>
        </w:rPr>
        <w:drawing>
          <wp:anchor distT="0" distB="0" distL="114300" distR="114300" simplePos="0" relativeHeight="251662336" behindDoc="0" locked="0" layoutInCell="1" allowOverlap="1" wp14:anchorId="6F7D60BC" wp14:editId="37F4F9C5">
            <wp:simplePos x="0" y="0"/>
            <wp:positionH relativeFrom="column">
              <wp:posOffset>0</wp:posOffset>
            </wp:positionH>
            <wp:positionV relativeFrom="paragraph">
              <wp:posOffset>195580</wp:posOffset>
            </wp:positionV>
            <wp:extent cx="4229100" cy="5995035"/>
            <wp:effectExtent l="0" t="0" r="12700" b="0"/>
            <wp:wrapThrough wrapText="bothSides">
              <wp:wrapPolygon edited="0">
                <wp:start x="0" y="0"/>
                <wp:lineTo x="0" y="21506"/>
                <wp:lineTo x="21535" y="21506"/>
                <wp:lineTo x="21535" y="0"/>
                <wp:lineTo x="0" y="0"/>
              </wp:wrapPolygon>
            </wp:wrapThrough>
            <wp:docPr id="95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9100" cy="59950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8692D7" w14:textId="77777777" w:rsidR="00A565BB" w:rsidRDefault="00AA0E8B" w:rsidP="00AA0E8B">
      <w:pPr>
        <w:spacing w:line="260" w:lineRule="exact"/>
        <w:jc w:val="both"/>
        <w:rPr>
          <w:sz w:val="22"/>
          <w:szCs w:val="22"/>
        </w:rPr>
      </w:pPr>
      <w:r>
        <w:rPr>
          <w:sz w:val="22"/>
          <w:szCs w:val="22"/>
        </w:rPr>
        <w:t xml:space="preserve">   </w:t>
      </w:r>
    </w:p>
    <w:p w14:paraId="28BC149A" w14:textId="77777777" w:rsidR="00A565BB" w:rsidRDefault="00A565BB" w:rsidP="00AA0E8B">
      <w:pPr>
        <w:spacing w:line="260" w:lineRule="exact"/>
        <w:jc w:val="both"/>
        <w:rPr>
          <w:sz w:val="22"/>
          <w:szCs w:val="22"/>
        </w:rPr>
      </w:pPr>
    </w:p>
    <w:p w14:paraId="526F3142" w14:textId="77777777" w:rsidR="00A565BB" w:rsidRDefault="00A565BB" w:rsidP="00AA0E8B">
      <w:pPr>
        <w:spacing w:line="260" w:lineRule="exact"/>
        <w:jc w:val="both"/>
        <w:rPr>
          <w:sz w:val="22"/>
          <w:szCs w:val="22"/>
        </w:rPr>
      </w:pPr>
    </w:p>
    <w:p w14:paraId="0EC19E9A" w14:textId="77777777" w:rsidR="00A565BB" w:rsidRDefault="00A565BB" w:rsidP="00AA0E8B">
      <w:pPr>
        <w:spacing w:line="260" w:lineRule="exact"/>
        <w:jc w:val="both"/>
        <w:rPr>
          <w:sz w:val="22"/>
          <w:szCs w:val="22"/>
        </w:rPr>
      </w:pPr>
    </w:p>
    <w:p w14:paraId="34EE2375" w14:textId="77777777" w:rsidR="00A565BB" w:rsidRDefault="00A565BB" w:rsidP="00AA0E8B">
      <w:pPr>
        <w:spacing w:line="260" w:lineRule="exact"/>
        <w:jc w:val="both"/>
        <w:rPr>
          <w:sz w:val="22"/>
          <w:szCs w:val="22"/>
        </w:rPr>
      </w:pPr>
    </w:p>
    <w:p w14:paraId="2ED30B1C" w14:textId="77777777" w:rsidR="00A565BB" w:rsidRDefault="00A565BB" w:rsidP="00AA0E8B">
      <w:pPr>
        <w:spacing w:line="260" w:lineRule="exact"/>
        <w:jc w:val="both"/>
        <w:rPr>
          <w:sz w:val="22"/>
          <w:szCs w:val="22"/>
        </w:rPr>
      </w:pPr>
    </w:p>
    <w:p w14:paraId="715DEF36" w14:textId="77777777" w:rsidR="00A565BB" w:rsidRDefault="00A565BB" w:rsidP="00AA0E8B">
      <w:pPr>
        <w:spacing w:line="260" w:lineRule="exact"/>
        <w:jc w:val="both"/>
        <w:rPr>
          <w:sz w:val="22"/>
          <w:szCs w:val="22"/>
        </w:rPr>
      </w:pPr>
    </w:p>
    <w:p w14:paraId="3BAED3BE" w14:textId="77777777" w:rsidR="00A565BB" w:rsidRDefault="00A565BB" w:rsidP="00AA0E8B">
      <w:pPr>
        <w:spacing w:line="260" w:lineRule="exact"/>
        <w:jc w:val="both"/>
        <w:rPr>
          <w:sz w:val="22"/>
          <w:szCs w:val="22"/>
        </w:rPr>
      </w:pPr>
    </w:p>
    <w:p w14:paraId="3CFDF3DE" w14:textId="77777777" w:rsidR="00A565BB" w:rsidRDefault="00A565BB" w:rsidP="00AA0E8B">
      <w:pPr>
        <w:spacing w:line="260" w:lineRule="exact"/>
        <w:jc w:val="both"/>
        <w:rPr>
          <w:sz w:val="22"/>
          <w:szCs w:val="22"/>
        </w:rPr>
      </w:pPr>
    </w:p>
    <w:p w14:paraId="75816F4D" w14:textId="77777777" w:rsidR="00A565BB" w:rsidRDefault="00A565BB" w:rsidP="00AA0E8B">
      <w:pPr>
        <w:spacing w:line="260" w:lineRule="exact"/>
        <w:jc w:val="both"/>
        <w:rPr>
          <w:sz w:val="22"/>
          <w:szCs w:val="22"/>
        </w:rPr>
      </w:pPr>
    </w:p>
    <w:p w14:paraId="0197CD25" w14:textId="77777777" w:rsidR="00A565BB" w:rsidRDefault="00A565BB" w:rsidP="00AA0E8B">
      <w:pPr>
        <w:spacing w:line="260" w:lineRule="exact"/>
        <w:jc w:val="both"/>
        <w:rPr>
          <w:sz w:val="22"/>
          <w:szCs w:val="22"/>
        </w:rPr>
      </w:pPr>
    </w:p>
    <w:p w14:paraId="37A5B4C5" w14:textId="77777777" w:rsidR="00A565BB" w:rsidRDefault="00A565BB" w:rsidP="00AA0E8B">
      <w:pPr>
        <w:spacing w:line="260" w:lineRule="exact"/>
        <w:jc w:val="both"/>
        <w:rPr>
          <w:sz w:val="22"/>
          <w:szCs w:val="22"/>
        </w:rPr>
      </w:pPr>
    </w:p>
    <w:p w14:paraId="6B14C979" w14:textId="77777777" w:rsidR="00A565BB" w:rsidRDefault="00A565BB" w:rsidP="00AA0E8B">
      <w:pPr>
        <w:spacing w:line="260" w:lineRule="exact"/>
        <w:jc w:val="both"/>
        <w:rPr>
          <w:sz w:val="22"/>
          <w:szCs w:val="22"/>
        </w:rPr>
      </w:pPr>
    </w:p>
    <w:p w14:paraId="17821F72" w14:textId="77777777" w:rsidR="00A565BB" w:rsidRDefault="00A565BB" w:rsidP="00AA0E8B">
      <w:pPr>
        <w:spacing w:line="260" w:lineRule="exact"/>
        <w:jc w:val="both"/>
        <w:rPr>
          <w:sz w:val="22"/>
          <w:szCs w:val="22"/>
        </w:rPr>
      </w:pPr>
    </w:p>
    <w:p w14:paraId="75FD0EE2" w14:textId="77777777" w:rsidR="00A565BB" w:rsidRDefault="00A565BB" w:rsidP="00AA0E8B">
      <w:pPr>
        <w:spacing w:line="260" w:lineRule="exact"/>
        <w:jc w:val="both"/>
        <w:rPr>
          <w:sz w:val="22"/>
          <w:szCs w:val="22"/>
        </w:rPr>
      </w:pPr>
    </w:p>
    <w:p w14:paraId="0830F655" w14:textId="77777777" w:rsidR="00A565BB" w:rsidRDefault="00A565BB" w:rsidP="00AA0E8B">
      <w:pPr>
        <w:spacing w:line="260" w:lineRule="exact"/>
        <w:jc w:val="both"/>
        <w:rPr>
          <w:sz w:val="22"/>
          <w:szCs w:val="22"/>
        </w:rPr>
      </w:pPr>
    </w:p>
    <w:p w14:paraId="5966C2AA" w14:textId="77777777" w:rsidR="00A565BB" w:rsidRDefault="00A565BB" w:rsidP="00AA0E8B">
      <w:pPr>
        <w:spacing w:line="260" w:lineRule="exact"/>
        <w:jc w:val="both"/>
        <w:rPr>
          <w:sz w:val="22"/>
          <w:szCs w:val="22"/>
        </w:rPr>
      </w:pPr>
    </w:p>
    <w:p w14:paraId="5646DEE7" w14:textId="77777777" w:rsidR="00A565BB" w:rsidRDefault="00A565BB" w:rsidP="00AA0E8B">
      <w:pPr>
        <w:spacing w:line="260" w:lineRule="exact"/>
        <w:jc w:val="both"/>
        <w:rPr>
          <w:sz w:val="22"/>
          <w:szCs w:val="22"/>
        </w:rPr>
      </w:pPr>
    </w:p>
    <w:p w14:paraId="77E23A60" w14:textId="77777777" w:rsidR="00A565BB" w:rsidRDefault="00A565BB" w:rsidP="00AA0E8B">
      <w:pPr>
        <w:spacing w:line="260" w:lineRule="exact"/>
        <w:jc w:val="both"/>
        <w:rPr>
          <w:sz w:val="22"/>
          <w:szCs w:val="22"/>
        </w:rPr>
      </w:pPr>
    </w:p>
    <w:p w14:paraId="3CE67BBF" w14:textId="77777777" w:rsidR="00A565BB" w:rsidRDefault="00A565BB" w:rsidP="00AA0E8B">
      <w:pPr>
        <w:spacing w:line="260" w:lineRule="exact"/>
        <w:jc w:val="both"/>
        <w:rPr>
          <w:sz w:val="22"/>
          <w:szCs w:val="22"/>
        </w:rPr>
      </w:pPr>
    </w:p>
    <w:p w14:paraId="7126266D" w14:textId="77777777" w:rsidR="00A565BB" w:rsidRDefault="00A565BB" w:rsidP="00AA0E8B">
      <w:pPr>
        <w:spacing w:line="260" w:lineRule="exact"/>
        <w:jc w:val="both"/>
        <w:rPr>
          <w:sz w:val="22"/>
          <w:szCs w:val="22"/>
        </w:rPr>
      </w:pPr>
    </w:p>
    <w:p w14:paraId="5F9D0DD8" w14:textId="77777777" w:rsidR="00A565BB" w:rsidRDefault="00A565BB" w:rsidP="00AA0E8B">
      <w:pPr>
        <w:spacing w:line="260" w:lineRule="exact"/>
        <w:jc w:val="both"/>
        <w:rPr>
          <w:sz w:val="22"/>
          <w:szCs w:val="22"/>
        </w:rPr>
      </w:pPr>
    </w:p>
    <w:p w14:paraId="27290730" w14:textId="77777777" w:rsidR="00A565BB" w:rsidRDefault="00A565BB" w:rsidP="00AA0E8B">
      <w:pPr>
        <w:spacing w:line="260" w:lineRule="exact"/>
        <w:jc w:val="both"/>
        <w:rPr>
          <w:sz w:val="22"/>
          <w:szCs w:val="22"/>
        </w:rPr>
      </w:pPr>
    </w:p>
    <w:p w14:paraId="6C058F9B" w14:textId="77777777" w:rsidR="00A565BB" w:rsidRDefault="00A565BB" w:rsidP="00AA0E8B">
      <w:pPr>
        <w:spacing w:line="260" w:lineRule="exact"/>
        <w:jc w:val="both"/>
        <w:rPr>
          <w:sz w:val="22"/>
          <w:szCs w:val="22"/>
        </w:rPr>
      </w:pPr>
    </w:p>
    <w:p w14:paraId="2C631EFA" w14:textId="77777777" w:rsidR="00A565BB" w:rsidRDefault="00A565BB" w:rsidP="00AA0E8B">
      <w:pPr>
        <w:spacing w:line="260" w:lineRule="exact"/>
        <w:jc w:val="both"/>
        <w:rPr>
          <w:sz w:val="22"/>
          <w:szCs w:val="22"/>
        </w:rPr>
      </w:pPr>
    </w:p>
    <w:p w14:paraId="71A8256C" w14:textId="77777777" w:rsidR="00A565BB" w:rsidRDefault="00A565BB" w:rsidP="00AA0E8B">
      <w:pPr>
        <w:spacing w:line="260" w:lineRule="exact"/>
        <w:jc w:val="both"/>
        <w:rPr>
          <w:sz w:val="22"/>
          <w:szCs w:val="22"/>
        </w:rPr>
      </w:pPr>
    </w:p>
    <w:p w14:paraId="5AB0A0CF" w14:textId="77777777" w:rsidR="00A565BB" w:rsidRDefault="00A565BB" w:rsidP="00AA0E8B">
      <w:pPr>
        <w:spacing w:line="260" w:lineRule="exact"/>
        <w:jc w:val="both"/>
        <w:rPr>
          <w:sz w:val="22"/>
          <w:szCs w:val="22"/>
        </w:rPr>
      </w:pPr>
    </w:p>
    <w:p w14:paraId="451619B6" w14:textId="77777777" w:rsidR="00A565BB" w:rsidRDefault="00A565BB" w:rsidP="00AA0E8B">
      <w:pPr>
        <w:spacing w:line="260" w:lineRule="exact"/>
        <w:jc w:val="both"/>
        <w:rPr>
          <w:sz w:val="22"/>
          <w:szCs w:val="22"/>
        </w:rPr>
      </w:pPr>
    </w:p>
    <w:p w14:paraId="7BE54643" w14:textId="77777777" w:rsidR="00A565BB" w:rsidRDefault="00A565BB" w:rsidP="00AA0E8B">
      <w:pPr>
        <w:spacing w:line="260" w:lineRule="exact"/>
        <w:jc w:val="both"/>
        <w:rPr>
          <w:sz w:val="22"/>
          <w:szCs w:val="22"/>
        </w:rPr>
      </w:pPr>
    </w:p>
    <w:p w14:paraId="25C56ECE" w14:textId="77777777" w:rsidR="00A565BB" w:rsidRDefault="00A565BB" w:rsidP="00AA0E8B">
      <w:pPr>
        <w:spacing w:line="260" w:lineRule="exact"/>
        <w:jc w:val="both"/>
        <w:rPr>
          <w:sz w:val="22"/>
          <w:szCs w:val="22"/>
        </w:rPr>
      </w:pPr>
    </w:p>
    <w:p w14:paraId="22388F0F" w14:textId="77777777" w:rsidR="00A565BB" w:rsidRDefault="00A565BB" w:rsidP="00AA0E8B">
      <w:pPr>
        <w:spacing w:line="260" w:lineRule="exact"/>
        <w:jc w:val="both"/>
        <w:rPr>
          <w:sz w:val="22"/>
          <w:szCs w:val="22"/>
        </w:rPr>
      </w:pPr>
    </w:p>
    <w:p w14:paraId="6ED4EB18" w14:textId="77777777" w:rsidR="00A565BB" w:rsidRDefault="00A565BB" w:rsidP="00AA0E8B">
      <w:pPr>
        <w:spacing w:line="260" w:lineRule="exact"/>
        <w:jc w:val="both"/>
        <w:rPr>
          <w:sz w:val="22"/>
          <w:szCs w:val="22"/>
        </w:rPr>
      </w:pPr>
    </w:p>
    <w:p w14:paraId="794BDDD8" w14:textId="77777777" w:rsidR="00A565BB" w:rsidRDefault="00A565BB" w:rsidP="00AA0E8B">
      <w:pPr>
        <w:spacing w:line="260" w:lineRule="exact"/>
        <w:jc w:val="both"/>
        <w:rPr>
          <w:sz w:val="22"/>
          <w:szCs w:val="22"/>
        </w:rPr>
      </w:pPr>
    </w:p>
    <w:p w14:paraId="6E8A977C" w14:textId="77777777" w:rsidR="00A565BB" w:rsidRDefault="00A565BB" w:rsidP="00AA0E8B">
      <w:pPr>
        <w:spacing w:line="260" w:lineRule="exact"/>
        <w:jc w:val="both"/>
        <w:rPr>
          <w:sz w:val="22"/>
          <w:szCs w:val="22"/>
        </w:rPr>
      </w:pPr>
    </w:p>
    <w:p w14:paraId="55E25F2A" w14:textId="77777777" w:rsidR="00A565BB" w:rsidRDefault="00A565BB" w:rsidP="00AA0E8B">
      <w:pPr>
        <w:spacing w:line="260" w:lineRule="exact"/>
        <w:jc w:val="both"/>
        <w:rPr>
          <w:sz w:val="22"/>
          <w:szCs w:val="22"/>
        </w:rPr>
      </w:pPr>
    </w:p>
    <w:p w14:paraId="6869B67B" w14:textId="77777777" w:rsidR="00A565BB" w:rsidRDefault="00A565BB" w:rsidP="00AA0E8B">
      <w:pPr>
        <w:spacing w:line="260" w:lineRule="exact"/>
        <w:jc w:val="both"/>
        <w:rPr>
          <w:sz w:val="22"/>
          <w:szCs w:val="22"/>
        </w:rPr>
      </w:pPr>
    </w:p>
    <w:p w14:paraId="3A8A7FED" w14:textId="77777777" w:rsidR="00A565BB" w:rsidRDefault="00A565BB" w:rsidP="00AA0E8B">
      <w:pPr>
        <w:spacing w:line="260" w:lineRule="exact"/>
        <w:jc w:val="both"/>
        <w:rPr>
          <w:sz w:val="22"/>
          <w:szCs w:val="22"/>
        </w:rPr>
      </w:pPr>
    </w:p>
    <w:p w14:paraId="6E5A6882" w14:textId="77777777" w:rsidR="00A565BB" w:rsidRDefault="00A565BB" w:rsidP="00AA0E8B">
      <w:pPr>
        <w:spacing w:line="260" w:lineRule="exact"/>
        <w:jc w:val="both"/>
        <w:rPr>
          <w:sz w:val="22"/>
          <w:szCs w:val="22"/>
        </w:rPr>
      </w:pPr>
    </w:p>
    <w:p w14:paraId="1D683306" w14:textId="77777777" w:rsidR="00A565BB" w:rsidRDefault="00A565BB" w:rsidP="00AA0E8B">
      <w:pPr>
        <w:spacing w:line="260" w:lineRule="exact"/>
        <w:jc w:val="both"/>
        <w:rPr>
          <w:sz w:val="22"/>
          <w:szCs w:val="22"/>
        </w:rPr>
      </w:pPr>
    </w:p>
    <w:p w14:paraId="417A20F5" w14:textId="77777777" w:rsidR="00AA0E8B" w:rsidRDefault="00AA0E8B" w:rsidP="00AA0E8B">
      <w:pPr>
        <w:spacing w:line="260" w:lineRule="exact"/>
        <w:jc w:val="both"/>
        <w:rPr>
          <w:sz w:val="22"/>
          <w:szCs w:val="22"/>
        </w:rPr>
      </w:pPr>
      <w:r>
        <w:rPr>
          <w:sz w:val="22"/>
          <w:szCs w:val="22"/>
        </w:rPr>
        <w:t xml:space="preserve">Altro dato molto interessante è stato l’utilizzo della tecnologia per la formazione, che nel corso del 2012 è leggermente </w:t>
      </w:r>
      <w:proofErr w:type="gramStart"/>
      <w:r>
        <w:rPr>
          <w:sz w:val="22"/>
          <w:szCs w:val="22"/>
        </w:rPr>
        <w:t>cresciuto</w:t>
      </w:r>
      <w:proofErr w:type="gramEnd"/>
      <w:r>
        <w:rPr>
          <w:sz w:val="22"/>
          <w:szCs w:val="22"/>
        </w:rPr>
        <w:t xml:space="preserve"> rispetto al 2011, toccando il 39% sul totale della formazione erogata. </w:t>
      </w:r>
    </w:p>
    <w:p w14:paraId="054F1E31" w14:textId="77777777" w:rsidR="00AA0E8B" w:rsidRDefault="00AA0E8B" w:rsidP="00AA0E8B">
      <w:pPr>
        <w:spacing w:line="260" w:lineRule="exact"/>
        <w:jc w:val="both"/>
        <w:rPr>
          <w:sz w:val="22"/>
          <w:szCs w:val="22"/>
        </w:rPr>
      </w:pPr>
    </w:p>
    <w:p w14:paraId="4745E058" w14:textId="77777777" w:rsidR="00A565BB" w:rsidRDefault="00A565BB" w:rsidP="00AA0E8B">
      <w:pPr>
        <w:spacing w:line="260" w:lineRule="exact"/>
        <w:jc w:val="both"/>
        <w:rPr>
          <w:sz w:val="22"/>
          <w:szCs w:val="22"/>
        </w:rPr>
      </w:pPr>
    </w:p>
    <w:p w14:paraId="5EBC5FB1" w14:textId="77777777" w:rsidR="00A565BB" w:rsidRDefault="00A565BB" w:rsidP="00AA0E8B">
      <w:pPr>
        <w:spacing w:line="260" w:lineRule="exact"/>
        <w:jc w:val="both"/>
        <w:rPr>
          <w:sz w:val="22"/>
          <w:szCs w:val="22"/>
        </w:rPr>
      </w:pPr>
    </w:p>
    <w:p w14:paraId="7BAFED54" w14:textId="77777777" w:rsidR="00A565BB" w:rsidRDefault="00A565BB" w:rsidP="00AA0E8B">
      <w:pPr>
        <w:spacing w:line="260" w:lineRule="exact"/>
        <w:jc w:val="both"/>
        <w:rPr>
          <w:sz w:val="22"/>
          <w:szCs w:val="22"/>
        </w:rPr>
      </w:pPr>
    </w:p>
    <w:p w14:paraId="27309C2A" w14:textId="77777777" w:rsidR="00A565BB" w:rsidRDefault="00A565BB" w:rsidP="00AA0E8B">
      <w:pPr>
        <w:spacing w:line="260" w:lineRule="exact"/>
        <w:jc w:val="both"/>
        <w:rPr>
          <w:sz w:val="22"/>
          <w:szCs w:val="22"/>
        </w:rPr>
      </w:pPr>
    </w:p>
    <w:p w14:paraId="0EE3B96C" w14:textId="77777777" w:rsidR="00A565BB" w:rsidRDefault="00A565BB" w:rsidP="00AA0E8B">
      <w:pPr>
        <w:spacing w:line="260" w:lineRule="exact"/>
        <w:jc w:val="both"/>
        <w:rPr>
          <w:sz w:val="22"/>
          <w:szCs w:val="22"/>
        </w:rPr>
      </w:pPr>
    </w:p>
    <w:p w14:paraId="514D269F" w14:textId="77777777" w:rsidR="00A565BB" w:rsidRDefault="00A565BB" w:rsidP="00AA0E8B">
      <w:pPr>
        <w:spacing w:line="260" w:lineRule="exact"/>
        <w:jc w:val="both"/>
        <w:rPr>
          <w:sz w:val="22"/>
          <w:szCs w:val="22"/>
        </w:rPr>
      </w:pPr>
    </w:p>
    <w:p w14:paraId="17CF790E" w14:textId="77777777" w:rsidR="00A565BB" w:rsidRDefault="00A565BB" w:rsidP="00AA0E8B">
      <w:pPr>
        <w:spacing w:line="260" w:lineRule="exact"/>
        <w:jc w:val="both"/>
        <w:rPr>
          <w:sz w:val="22"/>
          <w:szCs w:val="22"/>
        </w:rPr>
      </w:pPr>
    </w:p>
    <w:p w14:paraId="0D63D905" w14:textId="77777777" w:rsidR="00A565BB" w:rsidRDefault="00A565BB" w:rsidP="00AA0E8B">
      <w:pPr>
        <w:spacing w:line="260" w:lineRule="exact"/>
        <w:jc w:val="both"/>
        <w:rPr>
          <w:sz w:val="22"/>
          <w:szCs w:val="22"/>
        </w:rPr>
      </w:pPr>
    </w:p>
    <w:p w14:paraId="4A893A81" w14:textId="77777777" w:rsidR="00A565BB" w:rsidRDefault="00A565BB" w:rsidP="00AA0E8B">
      <w:pPr>
        <w:spacing w:line="260" w:lineRule="exact"/>
        <w:jc w:val="both"/>
        <w:rPr>
          <w:sz w:val="22"/>
          <w:szCs w:val="22"/>
        </w:rPr>
      </w:pPr>
    </w:p>
    <w:p w14:paraId="0D964EB8"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5 –</w:t>
      </w:r>
      <w:r w:rsidRPr="00D63E9A">
        <w:rPr>
          <w:rFonts w:ascii="Arial" w:hAnsi="Arial" w:cs="Arial"/>
          <w:b/>
          <w:sz w:val="20"/>
          <w:szCs w:val="20"/>
        </w:rPr>
        <w:t xml:space="preserve"> </w:t>
      </w:r>
      <w:r>
        <w:rPr>
          <w:rFonts w:ascii="Arial" w:hAnsi="Arial" w:cs="Arial"/>
          <w:b/>
          <w:sz w:val="20"/>
          <w:szCs w:val="20"/>
        </w:rPr>
        <w:t>Comparazione in percentuale delle ore di formazione utilizzate rispetto a quelle disponibili su supporti tecnologici – 2012</w:t>
      </w:r>
    </w:p>
    <w:p w14:paraId="5A5692E1" w14:textId="77777777" w:rsidR="00AA0E8B" w:rsidRDefault="00AA0E8B" w:rsidP="00AA0E8B">
      <w:pPr>
        <w:spacing w:line="260" w:lineRule="exact"/>
        <w:jc w:val="both"/>
        <w:rPr>
          <w:sz w:val="22"/>
          <w:szCs w:val="22"/>
        </w:rPr>
      </w:pPr>
    </w:p>
    <w:p w14:paraId="464D97C2" w14:textId="77777777" w:rsidR="00AA0E8B" w:rsidRDefault="00AA0E8B" w:rsidP="00AA0E8B">
      <w:pPr>
        <w:spacing w:line="260" w:lineRule="exact"/>
        <w:jc w:val="both"/>
        <w:rPr>
          <w:sz w:val="22"/>
          <w:szCs w:val="22"/>
        </w:rPr>
      </w:pPr>
      <w:r w:rsidRPr="00DF1A3C">
        <w:rPr>
          <w:noProof/>
        </w:rPr>
        <w:drawing>
          <wp:anchor distT="0" distB="0" distL="114300" distR="114300" simplePos="0" relativeHeight="251663360" behindDoc="0" locked="0" layoutInCell="1" allowOverlap="1" wp14:anchorId="4C1EBC94" wp14:editId="52355494">
            <wp:simplePos x="0" y="0"/>
            <wp:positionH relativeFrom="column">
              <wp:posOffset>0</wp:posOffset>
            </wp:positionH>
            <wp:positionV relativeFrom="paragraph">
              <wp:posOffset>139700</wp:posOffset>
            </wp:positionV>
            <wp:extent cx="4047490" cy="3886200"/>
            <wp:effectExtent l="0" t="0" r="0" b="0"/>
            <wp:wrapThrough wrapText="bothSides">
              <wp:wrapPolygon edited="0">
                <wp:start x="0" y="0"/>
                <wp:lineTo x="0" y="21459"/>
                <wp:lineTo x="21417" y="21459"/>
                <wp:lineTo x="21417" y="0"/>
                <wp:lineTo x="0" y="0"/>
              </wp:wrapPolygon>
            </wp:wrapThrough>
            <wp:docPr id="95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7490"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C3B509" w14:textId="77777777" w:rsidR="00AA0E8B" w:rsidRDefault="00AA0E8B" w:rsidP="00AA0E8B">
      <w:pPr>
        <w:spacing w:line="260" w:lineRule="exact"/>
        <w:jc w:val="both"/>
        <w:rPr>
          <w:sz w:val="22"/>
          <w:szCs w:val="22"/>
        </w:rPr>
      </w:pPr>
    </w:p>
    <w:p w14:paraId="5404DFA7" w14:textId="77777777" w:rsidR="00AA0E8B" w:rsidRDefault="00AA0E8B" w:rsidP="00AA0E8B">
      <w:pPr>
        <w:spacing w:line="260" w:lineRule="exact"/>
        <w:jc w:val="both"/>
      </w:pPr>
    </w:p>
    <w:p w14:paraId="5A04EB26" w14:textId="77777777" w:rsidR="00AA0E8B" w:rsidRDefault="00AA0E8B" w:rsidP="00AA0E8B">
      <w:pPr>
        <w:spacing w:line="260" w:lineRule="exact"/>
        <w:jc w:val="both"/>
      </w:pPr>
    </w:p>
    <w:p w14:paraId="09BDF6B6" w14:textId="77777777" w:rsidR="00AA0E8B" w:rsidRDefault="00AA0E8B" w:rsidP="00AA0E8B">
      <w:pPr>
        <w:spacing w:line="260" w:lineRule="exact"/>
        <w:jc w:val="both"/>
      </w:pPr>
    </w:p>
    <w:p w14:paraId="57AE58CA" w14:textId="77777777" w:rsidR="00AA0E8B" w:rsidRDefault="00AA0E8B" w:rsidP="00AA0E8B">
      <w:pPr>
        <w:spacing w:line="260" w:lineRule="exact"/>
        <w:jc w:val="both"/>
      </w:pPr>
    </w:p>
    <w:p w14:paraId="569131D2" w14:textId="77777777" w:rsidR="00AA0E8B" w:rsidRDefault="00AA0E8B" w:rsidP="00AA0E8B">
      <w:pPr>
        <w:spacing w:line="260" w:lineRule="exact"/>
        <w:jc w:val="both"/>
      </w:pPr>
    </w:p>
    <w:p w14:paraId="1B312979" w14:textId="77777777" w:rsidR="00AA0E8B" w:rsidRDefault="00AA0E8B" w:rsidP="00AA0E8B">
      <w:pPr>
        <w:spacing w:line="260" w:lineRule="exact"/>
        <w:jc w:val="both"/>
      </w:pPr>
    </w:p>
    <w:p w14:paraId="4810B4D0" w14:textId="77777777" w:rsidR="00AA0E8B" w:rsidRDefault="00AA0E8B" w:rsidP="00AA0E8B">
      <w:pPr>
        <w:spacing w:line="260" w:lineRule="exact"/>
        <w:jc w:val="both"/>
      </w:pPr>
    </w:p>
    <w:p w14:paraId="43F56FB2" w14:textId="77777777" w:rsidR="00A565BB" w:rsidRDefault="00A565BB" w:rsidP="00AA0E8B">
      <w:pPr>
        <w:spacing w:line="260" w:lineRule="exact"/>
        <w:jc w:val="both"/>
      </w:pPr>
    </w:p>
    <w:p w14:paraId="39CADB3A" w14:textId="77777777" w:rsidR="00A565BB" w:rsidRDefault="00A565BB" w:rsidP="00AA0E8B">
      <w:pPr>
        <w:spacing w:line="260" w:lineRule="exact"/>
        <w:jc w:val="both"/>
      </w:pPr>
    </w:p>
    <w:p w14:paraId="36491890" w14:textId="77777777" w:rsidR="00A565BB" w:rsidRDefault="00A565BB" w:rsidP="00AA0E8B">
      <w:pPr>
        <w:spacing w:line="260" w:lineRule="exact"/>
        <w:jc w:val="both"/>
      </w:pPr>
    </w:p>
    <w:p w14:paraId="2D4013A5" w14:textId="77777777" w:rsidR="00A565BB" w:rsidRDefault="00A565BB" w:rsidP="00AA0E8B">
      <w:pPr>
        <w:spacing w:line="260" w:lineRule="exact"/>
        <w:jc w:val="both"/>
      </w:pPr>
    </w:p>
    <w:p w14:paraId="0E3E77C9" w14:textId="77777777" w:rsidR="00A565BB" w:rsidRDefault="00A565BB" w:rsidP="00AA0E8B">
      <w:pPr>
        <w:spacing w:line="260" w:lineRule="exact"/>
        <w:jc w:val="both"/>
      </w:pPr>
    </w:p>
    <w:p w14:paraId="0D862181" w14:textId="77777777" w:rsidR="00A565BB" w:rsidRDefault="00A565BB" w:rsidP="00AA0E8B">
      <w:pPr>
        <w:spacing w:line="260" w:lineRule="exact"/>
        <w:jc w:val="both"/>
      </w:pPr>
    </w:p>
    <w:p w14:paraId="6DC01047" w14:textId="77777777" w:rsidR="00A565BB" w:rsidRDefault="00A565BB" w:rsidP="00AA0E8B">
      <w:pPr>
        <w:spacing w:line="260" w:lineRule="exact"/>
        <w:jc w:val="both"/>
      </w:pPr>
    </w:p>
    <w:p w14:paraId="7C3D5964" w14:textId="77777777" w:rsidR="00A565BB" w:rsidRDefault="00A565BB" w:rsidP="00AA0E8B">
      <w:pPr>
        <w:spacing w:line="260" w:lineRule="exact"/>
        <w:jc w:val="both"/>
      </w:pPr>
    </w:p>
    <w:p w14:paraId="589B5D38" w14:textId="77777777" w:rsidR="00A565BB" w:rsidRDefault="00A565BB" w:rsidP="00AA0E8B">
      <w:pPr>
        <w:spacing w:line="260" w:lineRule="exact"/>
        <w:jc w:val="both"/>
      </w:pPr>
    </w:p>
    <w:p w14:paraId="5B540BFA" w14:textId="77777777" w:rsidR="00A565BB" w:rsidRDefault="00A565BB" w:rsidP="00AA0E8B">
      <w:pPr>
        <w:spacing w:line="260" w:lineRule="exact"/>
        <w:jc w:val="both"/>
      </w:pPr>
    </w:p>
    <w:p w14:paraId="425C5F78" w14:textId="77777777" w:rsidR="00A565BB" w:rsidRDefault="00A565BB" w:rsidP="00AA0E8B">
      <w:pPr>
        <w:spacing w:line="260" w:lineRule="exact"/>
        <w:jc w:val="both"/>
      </w:pPr>
    </w:p>
    <w:p w14:paraId="6CC75CC7" w14:textId="77777777" w:rsidR="00A565BB" w:rsidRDefault="00A565BB" w:rsidP="00AA0E8B">
      <w:pPr>
        <w:spacing w:line="260" w:lineRule="exact"/>
        <w:jc w:val="both"/>
      </w:pPr>
    </w:p>
    <w:p w14:paraId="373F247F" w14:textId="77777777" w:rsidR="00A565BB" w:rsidRDefault="00A565BB" w:rsidP="00AA0E8B">
      <w:pPr>
        <w:spacing w:line="260" w:lineRule="exact"/>
        <w:jc w:val="both"/>
      </w:pPr>
    </w:p>
    <w:p w14:paraId="0C67ECB0" w14:textId="77777777" w:rsidR="00A565BB" w:rsidRDefault="00A565BB" w:rsidP="00AA0E8B">
      <w:pPr>
        <w:spacing w:line="260" w:lineRule="exact"/>
        <w:jc w:val="both"/>
      </w:pPr>
    </w:p>
    <w:p w14:paraId="09EFD988" w14:textId="77777777" w:rsidR="00A565BB" w:rsidRDefault="00A565BB" w:rsidP="00AA0E8B">
      <w:pPr>
        <w:spacing w:line="260" w:lineRule="exact"/>
        <w:jc w:val="both"/>
      </w:pPr>
    </w:p>
    <w:p w14:paraId="5178F5B8" w14:textId="77777777" w:rsidR="00A565BB" w:rsidRDefault="00A565BB" w:rsidP="00AA0E8B">
      <w:pPr>
        <w:spacing w:line="260" w:lineRule="exact"/>
        <w:jc w:val="both"/>
      </w:pPr>
    </w:p>
    <w:p w14:paraId="28778057" w14:textId="77777777" w:rsidR="00A565BB" w:rsidRDefault="00A565BB" w:rsidP="00AA0E8B">
      <w:pPr>
        <w:spacing w:line="260" w:lineRule="exact"/>
        <w:jc w:val="both"/>
      </w:pPr>
    </w:p>
    <w:p w14:paraId="0B83640C"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6 –</w:t>
      </w:r>
      <w:r w:rsidRPr="00D63E9A">
        <w:rPr>
          <w:rFonts w:ascii="Arial" w:hAnsi="Arial" w:cs="Arial"/>
          <w:b/>
          <w:sz w:val="20"/>
          <w:szCs w:val="20"/>
        </w:rPr>
        <w:t xml:space="preserve"> </w:t>
      </w:r>
      <w:r>
        <w:rPr>
          <w:rFonts w:ascii="Arial" w:hAnsi="Arial" w:cs="Arial"/>
          <w:b/>
          <w:sz w:val="20"/>
          <w:szCs w:val="20"/>
        </w:rPr>
        <w:t>Media percentuale delle ore di formazione erogate via E-Learning – 2012</w:t>
      </w:r>
    </w:p>
    <w:p w14:paraId="4AA1DD0D" w14:textId="77777777" w:rsidR="00AA0E8B" w:rsidRDefault="00AA0E8B" w:rsidP="00AA0E8B">
      <w:pPr>
        <w:spacing w:line="260" w:lineRule="exact"/>
        <w:jc w:val="both"/>
        <w:rPr>
          <w:sz w:val="22"/>
          <w:szCs w:val="22"/>
        </w:rPr>
      </w:pPr>
    </w:p>
    <w:p w14:paraId="3EAA1A82" w14:textId="77777777" w:rsidR="00A565BB" w:rsidRDefault="00AA0E8B" w:rsidP="00AA0E8B">
      <w:pPr>
        <w:spacing w:line="260" w:lineRule="exact"/>
        <w:jc w:val="both"/>
        <w:rPr>
          <w:sz w:val="22"/>
          <w:szCs w:val="22"/>
        </w:rPr>
      </w:pPr>
      <w:r w:rsidRPr="00D22D2F">
        <w:rPr>
          <w:noProof/>
        </w:rPr>
        <w:drawing>
          <wp:anchor distT="0" distB="0" distL="114300" distR="114300" simplePos="0" relativeHeight="251664384" behindDoc="0" locked="0" layoutInCell="1" allowOverlap="1" wp14:anchorId="62FA914C" wp14:editId="41A50127">
            <wp:simplePos x="0" y="0"/>
            <wp:positionH relativeFrom="column">
              <wp:posOffset>0</wp:posOffset>
            </wp:positionH>
            <wp:positionV relativeFrom="paragraph">
              <wp:posOffset>0</wp:posOffset>
            </wp:positionV>
            <wp:extent cx="4244975" cy="2061210"/>
            <wp:effectExtent l="0" t="0" r="0" b="0"/>
            <wp:wrapThrough wrapText="bothSides">
              <wp:wrapPolygon edited="0">
                <wp:start x="0" y="0"/>
                <wp:lineTo x="0" y="21294"/>
                <wp:lineTo x="21455" y="21294"/>
                <wp:lineTo x="21455" y="0"/>
                <wp:lineTo x="0" y="0"/>
              </wp:wrapPolygon>
            </wp:wrapThrough>
            <wp:docPr id="956"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44975" cy="206121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2"/>
          <w:szCs w:val="22"/>
        </w:rPr>
        <w:t xml:space="preserve">   </w:t>
      </w:r>
    </w:p>
    <w:p w14:paraId="1EC7BE74" w14:textId="77777777" w:rsidR="00A565BB" w:rsidRDefault="00A565BB" w:rsidP="00AA0E8B">
      <w:pPr>
        <w:spacing w:line="260" w:lineRule="exact"/>
        <w:jc w:val="both"/>
        <w:rPr>
          <w:sz w:val="22"/>
          <w:szCs w:val="22"/>
        </w:rPr>
      </w:pPr>
    </w:p>
    <w:p w14:paraId="6FE217B8" w14:textId="77777777" w:rsidR="00A565BB" w:rsidRDefault="00A565BB" w:rsidP="00AA0E8B">
      <w:pPr>
        <w:spacing w:line="260" w:lineRule="exact"/>
        <w:jc w:val="both"/>
        <w:rPr>
          <w:sz w:val="22"/>
          <w:szCs w:val="22"/>
        </w:rPr>
      </w:pPr>
    </w:p>
    <w:p w14:paraId="4FB4D4CB" w14:textId="77777777" w:rsidR="00A565BB" w:rsidRDefault="00A565BB" w:rsidP="00AA0E8B">
      <w:pPr>
        <w:spacing w:line="260" w:lineRule="exact"/>
        <w:jc w:val="both"/>
        <w:rPr>
          <w:sz w:val="22"/>
          <w:szCs w:val="22"/>
        </w:rPr>
      </w:pPr>
    </w:p>
    <w:p w14:paraId="67545FC3" w14:textId="77777777" w:rsidR="00A565BB" w:rsidRDefault="00A565BB" w:rsidP="00AA0E8B">
      <w:pPr>
        <w:spacing w:line="260" w:lineRule="exact"/>
        <w:jc w:val="both"/>
        <w:rPr>
          <w:sz w:val="22"/>
          <w:szCs w:val="22"/>
        </w:rPr>
      </w:pPr>
    </w:p>
    <w:p w14:paraId="2AEAAAE3" w14:textId="77777777" w:rsidR="00A565BB" w:rsidRDefault="00A565BB" w:rsidP="00AA0E8B">
      <w:pPr>
        <w:spacing w:line="260" w:lineRule="exact"/>
        <w:jc w:val="both"/>
        <w:rPr>
          <w:sz w:val="22"/>
          <w:szCs w:val="22"/>
        </w:rPr>
      </w:pPr>
    </w:p>
    <w:p w14:paraId="07AA814A" w14:textId="77777777" w:rsidR="00A565BB" w:rsidRDefault="00A565BB" w:rsidP="00AA0E8B">
      <w:pPr>
        <w:spacing w:line="260" w:lineRule="exact"/>
        <w:jc w:val="both"/>
        <w:rPr>
          <w:sz w:val="22"/>
          <w:szCs w:val="22"/>
        </w:rPr>
      </w:pPr>
    </w:p>
    <w:p w14:paraId="332E978D" w14:textId="77777777" w:rsidR="00A565BB" w:rsidRDefault="00A565BB" w:rsidP="00AA0E8B">
      <w:pPr>
        <w:spacing w:line="260" w:lineRule="exact"/>
        <w:jc w:val="both"/>
        <w:rPr>
          <w:sz w:val="22"/>
          <w:szCs w:val="22"/>
        </w:rPr>
      </w:pPr>
    </w:p>
    <w:p w14:paraId="1D78C162" w14:textId="77777777" w:rsidR="00A565BB" w:rsidRDefault="00A565BB" w:rsidP="00AA0E8B">
      <w:pPr>
        <w:spacing w:line="260" w:lineRule="exact"/>
        <w:jc w:val="both"/>
        <w:rPr>
          <w:sz w:val="22"/>
          <w:szCs w:val="22"/>
        </w:rPr>
      </w:pPr>
    </w:p>
    <w:p w14:paraId="3C9F992E" w14:textId="77777777" w:rsidR="00A565BB" w:rsidRDefault="00A565BB" w:rsidP="00AA0E8B">
      <w:pPr>
        <w:spacing w:line="260" w:lineRule="exact"/>
        <w:jc w:val="both"/>
        <w:rPr>
          <w:sz w:val="22"/>
          <w:szCs w:val="22"/>
        </w:rPr>
      </w:pPr>
    </w:p>
    <w:p w14:paraId="51C4459D" w14:textId="77777777" w:rsidR="00A565BB" w:rsidRDefault="00A565BB" w:rsidP="00AA0E8B">
      <w:pPr>
        <w:spacing w:line="260" w:lineRule="exact"/>
        <w:jc w:val="both"/>
        <w:rPr>
          <w:sz w:val="22"/>
          <w:szCs w:val="22"/>
        </w:rPr>
      </w:pPr>
    </w:p>
    <w:p w14:paraId="71AF71F2" w14:textId="77777777" w:rsidR="00A565BB" w:rsidRDefault="00A565BB" w:rsidP="00AA0E8B">
      <w:pPr>
        <w:spacing w:line="260" w:lineRule="exact"/>
        <w:jc w:val="both"/>
        <w:rPr>
          <w:sz w:val="22"/>
          <w:szCs w:val="22"/>
        </w:rPr>
      </w:pPr>
    </w:p>
    <w:p w14:paraId="72B34FEA" w14:textId="77777777" w:rsidR="00A565BB" w:rsidRDefault="00A565BB" w:rsidP="00AA0E8B">
      <w:pPr>
        <w:spacing w:line="260" w:lineRule="exact"/>
        <w:jc w:val="both"/>
        <w:rPr>
          <w:sz w:val="22"/>
          <w:szCs w:val="22"/>
        </w:rPr>
      </w:pPr>
    </w:p>
    <w:p w14:paraId="640DBFB6" w14:textId="77777777" w:rsidR="00A565BB" w:rsidRDefault="00A565BB" w:rsidP="00AA0E8B">
      <w:pPr>
        <w:spacing w:line="260" w:lineRule="exact"/>
        <w:jc w:val="both"/>
        <w:rPr>
          <w:sz w:val="22"/>
          <w:szCs w:val="22"/>
        </w:rPr>
      </w:pPr>
    </w:p>
    <w:p w14:paraId="7E80A51F" w14:textId="77777777" w:rsidR="00AA0E8B" w:rsidRDefault="00AA0E8B" w:rsidP="00AA0E8B">
      <w:pPr>
        <w:spacing w:line="260" w:lineRule="exact"/>
        <w:jc w:val="both"/>
        <w:rPr>
          <w:sz w:val="22"/>
          <w:szCs w:val="22"/>
        </w:rPr>
      </w:pPr>
      <w:r>
        <w:rPr>
          <w:sz w:val="22"/>
          <w:szCs w:val="22"/>
        </w:rPr>
        <w:t xml:space="preserve">Da questa breve presentazione, possiamo </w:t>
      </w:r>
      <w:proofErr w:type="gramStart"/>
      <w:r>
        <w:rPr>
          <w:sz w:val="22"/>
          <w:szCs w:val="22"/>
        </w:rPr>
        <w:t>concludere</w:t>
      </w:r>
      <w:proofErr w:type="gramEnd"/>
      <w:r>
        <w:rPr>
          <w:sz w:val="22"/>
          <w:szCs w:val="22"/>
        </w:rPr>
        <w:t xml:space="preserve"> che nel 2012 le organizzazioni hanno continuato ad investire in formazione per i loro dipendenti, a dispetto del contesto economico sempre più sfidante. Le organizzazioni, inoltre, sviluppano nuove metodologie didattiche </w:t>
      </w:r>
      <w:proofErr w:type="gramStart"/>
      <w:r>
        <w:rPr>
          <w:sz w:val="22"/>
          <w:szCs w:val="22"/>
        </w:rPr>
        <w:t>per poter</w:t>
      </w:r>
      <w:proofErr w:type="gramEnd"/>
      <w:r>
        <w:rPr>
          <w:sz w:val="22"/>
          <w:szCs w:val="22"/>
        </w:rPr>
        <w:t xml:space="preserve"> raggiungere il più elevato numero di dipendenti in formazione e mantenere alto il livello qualitativo dei servizi/prodotti offerti. </w:t>
      </w:r>
    </w:p>
    <w:p w14:paraId="284B87B4" w14:textId="77777777" w:rsidR="00AA0E8B" w:rsidRDefault="00AA0E8B" w:rsidP="00AA0E8B">
      <w:pPr>
        <w:spacing w:line="260" w:lineRule="exact"/>
        <w:jc w:val="both"/>
        <w:rPr>
          <w:sz w:val="22"/>
          <w:szCs w:val="22"/>
        </w:rPr>
      </w:pPr>
    </w:p>
    <w:p w14:paraId="74A1DE87" w14:textId="77777777" w:rsidR="00AA0E8B" w:rsidRDefault="00AA0E8B" w:rsidP="00AA0E8B">
      <w:pPr>
        <w:spacing w:line="260" w:lineRule="exact"/>
        <w:jc w:val="both"/>
        <w:rPr>
          <w:sz w:val="22"/>
          <w:szCs w:val="22"/>
        </w:rPr>
      </w:pPr>
      <w:r>
        <w:rPr>
          <w:sz w:val="22"/>
          <w:szCs w:val="22"/>
        </w:rPr>
        <w:t xml:space="preserve">   Nel 2013</w:t>
      </w:r>
      <w:r>
        <w:rPr>
          <w:rStyle w:val="Rimandonotaapidipagina"/>
          <w:sz w:val="22"/>
          <w:szCs w:val="22"/>
        </w:rPr>
        <w:footnoteReference w:id="3"/>
      </w:r>
      <w:proofErr w:type="gramStart"/>
      <w:r>
        <w:rPr>
          <w:sz w:val="22"/>
          <w:szCs w:val="22"/>
        </w:rPr>
        <w:t xml:space="preserve">, </w:t>
      </w:r>
      <w:proofErr w:type="gramEnd"/>
      <w:r>
        <w:rPr>
          <w:sz w:val="22"/>
          <w:szCs w:val="22"/>
        </w:rPr>
        <w:t xml:space="preserve">le organizzazioni hanno speso in media 1,208 dollari per i dipendenti in formazione e sviluppo. Questo dato riporta un incremento percentuale di un punto rispetto al 2012 (circa 13 dollari per dipendente). Anche il numero di ore in formazione per dipendente è incrementato a 31,5 ore da 20,3 </w:t>
      </w:r>
      <w:proofErr w:type="gramStart"/>
      <w:r>
        <w:rPr>
          <w:sz w:val="22"/>
          <w:szCs w:val="22"/>
        </w:rPr>
        <w:t>ore</w:t>
      </w:r>
      <w:proofErr w:type="gramEnd"/>
      <w:r>
        <w:rPr>
          <w:sz w:val="22"/>
          <w:szCs w:val="22"/>
        </w:rPr>
        <w:t xml:space="preserve">. </w:t>
      </w:r>
    </w:p>
    <w:p w14:paraId="00E2CE98" w14:textId="77777777" w:rsidR="00AA0E8B" w:rsidRDefault="00AA0E8B" w:rsidP="00AA0E8B">
      <w:pPr>
        <w:spacing w:line="260" w:lineRule="exact"/>
        <w:jc w:val="both"/>
        <w:rPr>
          <w:sz w:val="22"/>
          <w:szCs w:val="22"/>
        </w:rPr>
      </w:pPr>
    </w:p>
    <w:p w14:paraId="181C3FEA" w14:textId="77777777" w:rsidR="00AA0E8B" w:rsidRDefault="00AA0E8B" w:rsidP="00AA0E8B">
      <w:pPr>
        <w:spacing w:line="260" w:lineRule="exact"/>
        <w:jc w:val="both"/>
        <w:rPr>
          <w:sz w:val="22"/>
          <w:szCs w:val="22"/>
        </w:rPr>
      </w:pPr>
      <w:r>
        <w:rPr>
          <w:sz w:val="22"/>
          <w:szCs w:val="22"/>
        </w:rPr>
        <w:t xml:space="preserve">   Il </w:t>
      </w:r>
      <w:r w:rsidRPr="004D16A4">
        <w:rPr>
          <w:i/>
          <w:sz w:val="22"/>
          <w:szCs w:val="22"/>
        </w:rPr>
        <w:t xml:space="preserve">World </w:t>
      </w:r>
      <w:proofErr w:type="spellStart"/>
      <w:r w:rsidRPr="004D16A4">
        <w:rPr>
          <w:i/>
          <w:sz w:val="22"/>
          <w:szCs w:val="22"/>
        </w:rPr>
        <w:t>Economic</w:t>
      </w:r>
      <w:proofErr w:type="spellEnd"/>
      <w:r w:rsidRPr="004D16A4">
        <w:rPr>
          <w:i/>
          <w:sz w:val="22"/>
          <w:szCs w:val="22"/>
        </w:rPr>
        <w:t xml:space="preserve"> Outlook (WEO) Report, April 2014</w:t>
      </w:r>
      <w:r>
        <w:rPr>
          <w:i/>
          <w:sz w:val="22"/>
          <w:szCs w:val="22"/>
        </w:rPr>
        <w:t xml:space="preserve">, </w:t>
      </w:r>
      <w:r>
        <w:rPr>
          <w:sz w:val="22"/>
          <w:szCs w:val="22"/>
        </w:rPr>
        <w:t xml:space="preserve">pubblicato dal Fondo Monetario Internazionale (IFM), ha riportato che l’attività globale è in fase di potenziamento e predittiva in crescita negli anni 2014-2015. L’IFM riporta che “La crescita globale è aumentata nella seconda parte del 2013, dopo un picco a ribasso nella prima metà del 2013”. Bassi tassi </w:t>
      </w:r>
      <w:proofErr w:type="gramStart"/>
      <w:r>
        <w:rPr>
          <w:sz w:val="22"/>
          <w:szCs w:val="22"/>
        </w:rPr>
        <w:t xml:space="preserve">di </w:t>
      </w:r>
      <w:proofErr w:type="gramEnd"/>
      <w:r>
        <w:rPr>
          <w:sz w:val="22"/>
          <w:szCs w:val="22"/>
        </w:rPr>
        <w:t xml:space="preserve">inflazione nei mercati avanzati stanno per continuare a crescere e sono in fase di recupero. Nei mercati avanzati, l’inflazione era nella media di 1,5 punti percentuali, mentre i paesi emergenti e i paesi in via di sviluppo vedevano l’inflazione di circa </w:t>
      </w:r>
      <w:proofErr w:type="gramStart"/>
      <w:r>
        <w:rPr>
          <w:sz w:val="22"/>
          <w:szCs w:val="22"/>
        </w:rPr>
        <w:t>6</w:t>
      </w:r>
      <w:proofErr w:type="gramEnd"/>
      <w:r>
        <w:rPr>
          <w:sz w:val="22"/>
          <w:szCs w:val="22"/>
        </w:rPr>
        <w:t xml:space="preserve"> punti percentuali nel 2013. I dati riportati nel report WEO supportano questa considerazione che l’investimento delle organizzazioni in formazione e sviluppo è </w:t>
      </w:r>
      <w:proofErr w:type="gramStart"/>
      <w:r>
        <w:rPr>
          <w:sz w:val="22"/>
          <w:szCs w:val="22"/>
        </w:rPr>
        <w:t>ad</w:t>
      </w:r>
      <w:proofErr w:type="gramEnd"/>
      <w:r>
        <w:rPr>
          <w:sz w:val="22"/>
          <w:szCs w:val="22"/>
        </w:rPr>
        <w:t xml:space="preserve"> un buon lavoro livello comparato negli anni passati. Con bassi tassi </w:t>
      </w:r>
      <w:proofErr w:type="gramStart"/>
      <w:r>
        <w:rPr>
          <w:sz w:val="22"/>
          <w:szCs w:val="22"/>
        </w:rPr>
        <w:t xml:space="preserve">di </w:t>
      </w:r>
      <w:proofErr w:type="gramEnd"/>
      <w:r>
        <w:rPr>
          <w:sz w:val="22"/>
          <w:szCs w:val="22"/>
        </w:rPr>
        <w:t>inflazione ed un’economia in fase di stabilizzazione, le organizzazioni stanno mantenendo i loro investimenti in formazione e sviluppo.</w:t>
      </w:r>
    </w:p>
    <w:p w14:paraId="0ECCAB4F" w14:textId="77777777" w:rsidR="00AA0E8B" w:rsidRDefault="00AA0E8B" w:rsidP="00AA0E8B">
      <w:pPr>
        <w:spacing w:line="260" w:lineRule="exact"/>
        <w:jc w:val="both"/>
        <w:rPr>
          <w:sz w:val="22"/>
          <w:szCs w:val="22"/>
        </w:rPr>
      </w:pPr>
    </w:p>
    <w:p w14:paraId="5CD4B6A0" w14:textId="77777777" w:rsidR="00AA0E8B" w:rsidRDefault="00AA0E8B" w:rsidP="00AA0E8B">
      <w:pPr>
        <w:spacing w:line="260" w:lineRule="exact"/>
        <w:jc w:val="both"/>
        <w:rPr>
          <w:sz w:val="22"/>
          <w:szCs w:val="22"/>
        </w:rPr>
      </w:pPr>
      <w:r>
        <w:rPr>
          <w:sz w:val="22"/>
          <w:szCs w:val="22"/>
        </w:rPr>
        <w:t xml:space="preserve">   E’ anche importante capire cosa è incluso nella percentuale di spesa di formazione e quanto il dato è influenzato dalla dimensione delle organizzazioni e dai settori in cui esse operano. La media in spese dirette per dipendente è una </w:t>
      </w:r>
      <w:proofErr w:type="gramStart"/>
      <w:r>
        <w:rPr>
          <w:sz w:val="22"/>
          <w:szCs w:val="22"/>
        </w:rPr>
        <w:t>spesa</w:t>
      </w:r>
      <w:proofErr w:type="gramEnd"/>
      <w:r>
        <w:rPr>
          <w:sz w:val="22"/>
          <w:szCs w:val="22"/>
        </w:rPr>
        <w:t xml:space="preserve"> totale diretta in formazione da parte delle organizzazioni suddiviso per numero di dipendenti. La figura di seguito è composta dagli stipendi delle persone che lavorano nella formazione e sviluppo (incluse tasse e benefit), costi di trasferta per questo staff, costi amministrativi, costi per lo sviluppo che non sono </w:t>
      </w:r>
      <w:proofErr w:type="gramStart"/>
      <w:r>
        <w:rPr>
          <w:sz w:val="22"/>
          <w:szCs w:val="22"/>
        </w:rPr>
        <w:t>inclusi</w:t>
      </w:r>
      <w:proofErr w:type="gramEnd"/>
      <w:r>
        <w:rPr>
          <w:sz w:val="22"/>
          <w:szCs w:val="22"/>
        </w:rPr>
        <w:t xml:space="preserve"> nei salari, costi di delivery, quali strumenti per le aule, infrastrutture tecnologie per la formazione a distanza, le attività appaltate e i rimborsi universitari. Non include i costi di trasferta dei discenti o le ore di lavoro perse mentre le persone sono in formazione (quindi il mancato guadagno per le aziende che investono in formazione). </w:t>
      </w:r>
    </w:p>
    <w:p w14:paraId="676EEDCE" w14:textId="77777777" w:rsidR="00AA0E8B" w:rsidRDefault="00AA0E8B" w:rsidP="00AA0E8B">
      <w:pPr>
        <w:spacing w:line="260" w:lineRule="exact"/>
        <w:jc w:val="both"/>
        <w:rPr>
          <w:sz w:val="22"/>
          <w:szCs w:val="22"/>
        </w:rPr>
      </w:pPr>
    </w:p>
    <w:p w14:paraId="25A5D98B" w14:textId="77777777" w:rsidR="00AA0E8B" w:rsidRDefault="00AA0E8B" w:rsidP="00AA0E8B">
      <w:pPr>
        <w:spacing w:line="260" w:lineRule="exact"/>
        <w:jc w:val="both"/>
        <w:rPr>
          <w:sz w:val="22"/>
          <w:szCs w:val="22"/>
        </w:rPr>
      </w:pPr>
    </w:p>
    <w:p w14:paraId="66977DF0" w14:textId="77777777" w:rsidR="00AA0E8B" w:rsidRDefault="00AA0E8B" w:rsidP="00AA0E8B">
      <w:pPr>
        <w:spacing w:line="260" w:lineRule="exact"/>
        <w:jc w:val="both"/>
        <w:rPr>
          <w:sz w:val="22"/>
          <w:szCs w:val="22"/>
        </w:rPr>
      </w:pPr>
    </w:p>
    <w:p w14:paraId="5CC75539" w14:textId="77777777" w:rsidR="00AA0E8B" w:rsidRDefault="00AA0E8B" w:rsidP="00AA0E8B">
      <w:pPr>
        <w:spacing w:line="260" w:lineRule="exact"/>
        <w:jc w:val="both"/>
        <w:rPr>
          <w:sz w:val="22"/>
          <w:szCs w:val="22"/>
        </w:rPr>
      </w:pPr>
    </w:p>
    <w:p w14:paraId="661D6144" w14:textId="77777777" w:rsidR="00AA0E8B" w:rsidRPr="00B93D5D"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7 -</w:t>
      </w:r>
      <w:r w:rsidRPr="00D63E9A">
        <w:rPr>
          <w:rFonts w:ascii="Arial" w:hAnsi="Arial" w:cs="Arial"/>
          <w:b/>
          <w:sz w:val="20"/>
          <w:szCs w:val="20"/>
        </w:rPr>
        <w:t xml:space="preserve"> Percentuale di </w:t>
      </w:r>
      <w:r>
        <w:rPr>
          <w:rFonts w:ascii="Arial" w:hAnsi="Arial" w:cs="Arial"/>
          <w:b/>
          <w:sz w:val="20"/>
          <w:szCs w:val="20"/>
        </w:rPr>
        <w:t>spesa in formazione erogata</w:t>
      </w:r>
      <w:r w:rsidRPr="00D63E9A">
        <w:rPr>
          <w:rFonts w:ascii="Arial" w:hAnsi="Arial" w:cs="Arial"/>
          <w:b/>
          <w:sz w:val="20"/>
          <w:szCs w:val="20"/>
        </w:rPr>
        <w:t xml:space="preserve"> per ogni</w:t>
      </w:r>
      <w:r>
        <w:rPr>
          <w:rFonts w:ascii="Arial" w:hAnsi="Arial" w:cs="Arial"/>
          <w:b/>
          <w:sz w:val="20"/>
          <w:szCs w:val="20"/>
        </w:rPr>
        <w:t xml:space="preserve"> dipendente - 2013</w:t>
      </w:r>
    </w:p>
    <w:p w14:paraId="10296DAF" w14:textId="77777777" w:rsidR="00AA0E8B" w:rsidRDefault="00AA0E8B" w:rsidP="00AA0E8B">
      <w:pPr>
        <w:widowControl w:val="0"/>
        <w:autoSpaceDE w:val="0"/>
        <w:autoSpaceDN w:val="0"/>
        <w:adjustRightInd w:val="0"/>
        <w:spacing w:after="240"/>
        <w:rPr>
          <w:rFonts w:ascii="Times" w:hAnsi="Times" w:cs="Times"/>
        </w:rPr>
      </w:pPr>
      <w:r>
        <w:rPr>
          <w:rFonts w:ascii="Times" w:hAnsi="Times" w:cs="Times"/>
          <w:noProof/>
        </w:rPr>
        <w:drawing>
          <wp:inline distT="0" distB="0" distL="0" distR="0" wp14:anchorId="722A0843" wp14:editId="518BDD09">
            <wp:extent cx="4248785" cy="2438192"/>
            <wp:effectExtent l="0" t="0" r="0" b="635"/>
            <wp:docPr id="3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48785" cy="2438192"/>
                    </a:xfrm>
                    <a:prstGeom prst="rect">
                      <a:avLst/>
                    </a:prstGeom>
                    <a:noFill/>
                    <a:ln>
                      <a:noFill/>
                    </a:ln>
                  </pic:spPr>
                </pic:pic>
              </a:graphicData>
            </a:graphic>
          </wp:inline>
        </w:drawing>
      </w:r>
    </w:p>
    <w:p w14:paraId="20618F58" w14:textId="77777777" w:rsidR="00AA0E8B" w:rsidRDefault="00AA0E8B" w:rsidP="00AA0E8B">
      <w:pPr>
        <w:widowControl w:val="0"/>
        <w:autoSpaceDE w:val="0"/>
        <w:autoSpaceDN w:val="0"/>
        <w:adjustRightInd w:val="0"/>
        <w:spacing w:after="240"/>
        <w:jc w:val="both"/>
        <w:rPr>
          <w:sz w:val="22"/>
          <w:szCs w:val="22"/>
        </w:rPr>
      </w:pPr>
      <w:r>
        <w:rPr>
          <w:sz w:val="22"/>
          <w:szCs w:val="22"/>
        </w:rPr>
        <w:t xml:space="preserve">   </w:t>
      </w:r>
      <w:r w:rsidRPr="00FE62E5">
        <w:rPr>
          <w:sz w:val="22"/>
          <w:szCs w:val="22"/>
        </w:rPr>
        <w:t>L</w:t>
      </w:r>
      <w:r>
        <w:rPr>
          <w:sz w:val="22"/>
          <w:szCs w:val="22"/>
        </w:rPr>
        <w:t xml:space="preserve">a dimensione delle organizzazioni </w:t>
      </w:r>
      <w:proofErr w:type="gramStart"/>
      <w:r>
        <w:rPr>
          <w:sz w:val="22"/>
          <w:szCs w:val="22"/>
        </w:rPr>
        <w:t>ha un’influenza</w:t>
      </w:r>
      <w:proofErr w:type="gramEnd"/>
      <w:r>
        <w:rPr>
          <w:sz w:val="22"/>
          <w:szCs w:val="22"/>
        </w:rPr>
        <w:t xml:space="preserve"> significativa in spese dirette per dipendente. Tipicamente ci aspettiamo di vedere la spesa per dipendente diminuire quando la dimensione delle aziende aumenta. Questo non significa che le grandi organizzazioni abbiano budget inferiori, ma che hanno un numero maggiore di dipendenti, su cui </w:t>
      </w:r>
      <w:proofErr w:type="gramStart"/>
      <w:r>
        <w:rPr>
          <w:sz w:val="22"/>
          <w:szCs w:val="22"/>
        </w:rPr>
        <w:t>viene</w:t>
      </w:r>
      <w:proofErr w:type="gramEnd"/>
      <w:r>
        <w:rPr>
          <w:sz w:val="22"/>
          <w:szCs w:val="22"/>
        </w:rPr>
        <w:t xml:space="preserve"> suddivisa la spesa in formazione e sviluppo. Nel 2013, le piccole organizzazioni con meno di 500 dipendenti, hanno speso in media 802 dollari per dipendenti, mentre le aziende medio-grandi 838 dollari per dipendenti.</w:t>
      </w:r>
    </w:p>
    <w:p w14:paraId="59C4E25B" w14:textId="77777777" w:rsidR="00AA0E8B" w:rsidRDefault="00AA0E8B" w:rsidP="00AA0E8B">
      <w:pPr>
        <w:widowControl w:val="0"/>
        <w:autoSpaceDE w:val="0"/>
        <w:autoSpaceDN w:val="0"/>
        <w:adjustRightInd w:val="0"/>
        <w:spacing w:after="240"/>
        <w:jc w:val="both"/>
        <w:rPr>
          <w:sz w:val="22"/>
          <w:szCs w:val="22"/>
        </w:rPr>
      </w:pPr>
      <w:r>
        <w:rPr>
          <w:sz w:val="22"/>
          <w:szCs w:val="22"/>
        </w:rPr>
        <w:t xml:space="preserve">   Sebbene le aziende medie e grandi abbiano la stessa spesa diretta per dipendente, non significa che siano uguali. La differenza tra i gruppi può essere </w:t>
      </w:r>
      <w:proofErr w:type="gramStart"/>
      <w:r>
        <w:rPr>
          <w:sz w:val="22"/>
          <w:szCs w:val="22"/>
        </w:rPr>
        <w:t>vista esaminando</w:t>
      </w:r>
      <w:proofErr w:type="gramEnd"/>
      <w:r>
        <w:rPr>
          <w:sz w:val="22"/>
          <w:szCs w:val="22"/>
        </w:rPr>
        <w:t xml:space="preserve"> alcuni fattori. In primis, questo report riporta i dati di diverse organizzazioni negli anni, e questo può inficiare i dati. </w:t>
      </w:r>
    </w:p>
    <w:p w14:paraId="712CB085" w14:textId="77777777" w:rsidR="00AA0E8B" w:rsidRDefault="00AA0E8B" w:rsidP="00AA0E8B">
      <w:pPr>
        <w:widowControl w:val="0"/>
        <w:autoSpaceDE w:val="0"/>
        <w:autoSpaceDN w:val="0"/>
        <w:adjustRightInd w:val="0"/>
        <w:spacing w:after="240"/>
        <w:jc w:val="both"/>
        <w:rPr>
          <w:sz w:val="22"/>
          <w:szCs w:val="22"/>
        </w:rPr>
      </w:pPr>
      <w:r>
        <w:rPr>
          <w:sz w:val="22"/>
          <w:szCs w:val="22"/>
        </w:rPr>
        <w:t xml:space="preserve">   In questa indagine, le grandi organizzazioni hanno rappresentato il 24% delle </w:t>
      </w:r>
      <w:proofErr w:type="gramStart"/>
      <w:r>
        <w:rPr>
          <w:sz w:val="22"/>
          <w:szCs w:val="22"/>
        </w:rPr>
        <w:t>organizzazioni</w:t>
      </w:r>
      <w:proofErr w:type="gramEnd"/>
      <w:r>
        <w:rPr>
          <w:sz w:val="22"/>
          <w:szCs w:val="22"/>
        </w:rPr>
        <w:t xml:space="preserve"> coinvolte in questo report (82 organizzazioni), mentre le piccole e medie aziende hanno rappresentato il 38% (rispettivamente 128 e 130 organizzazioni, come dimostra la figura successiva). </w:t>
      </w:r>
    </w:p>
    <w:p w14:paraId="5A7CDAFF" w14:textId="77777777" w:rsidR="00AA0E8B" w:rsidRDefault="00AA0E8B" w:rsidP="00AA0E8B">
      <w:pPr>
        <w:widowControl w:val="0"/>
        <w:autoSpaceDE w:val="0"/>
        <w:autoSpaceDN w:val="0"/>
        <w:adjustRightInd w:val="0"/>
        <w:spacing w:after="240"/>
        <w:jc w:val="both"/>
        <w:rPr>
          <w:sz w:val="22"/>
          <w:szCs w:val="22"/>
        </w:rPr>
      </w:pPr>
      <w:r>
        <w:rPr>
          <w:sz w:val="22"/>
          <w:szCs w:val="22"/>
        </w:rPr>
        <w:t xml:space="preserve">   In secondo luogo anche il settore di appartenenza può </w:t>
      </w:r>
      <w:proofErr w:type="gramStart"/>
      <w:r>
        <w:rPr>
          <w:sz w:val="22"/>
          <w:szCs w:val="22"/>
        </w:rPr>
        <w:t>avere un’influenza</w:t>
      </w:r>
      <w:proofErr w:type="gramEnd"/>
      <w:r>
        <w:rPr>
          <w:sz w:val="22"/>
          <w:szCs w:val="22"/>
        </w:rPr>
        <w:t xml:space="preserve"> sui dati riportati, come si può vedere nella figura riportata in seguito. </w:t>
      </w:r>
    </w:p>
    <w:p w14:paraId="02EA4C12" w14:textId="77777777" w:rsidR="00AA0E8B" w:rsidRPr="00FE62E5" w:rsidRDefault="00AA0E8B" w:rsidP="00AA0E8B">
      <w:pPr>
        <w:widowControl w:val="0"/>
        <w:autoSpaceDE w:val="0"/>
        <w:autoSpaceDN w:val="0"/>
        <w:adjustRightInd w:val="0"/>
        <w:spacing w:after="240"/>
        <w:jc w:val="both"/>
        <w:rPr>
          <w:sz w:val="22"/>
          <w:szCs w:val="22"/>
        </w:rPr>
      </w:pPr>
      <w:r>
        <w:rPr>
          <w:sz w:val="22"/>
          <w:szCs w:val="22"/>
        </w:rPr>
        <w:t xml:space="preserve">   Infine, il numero medio di ore di formazione per dipendente sembra essere la più ovvia differenza come dato tra le organizzazioni di medie e grandi dimensioni nel 2013. Le grandi organizzazioni riportano un dato di media di </w:t>
      </w:r>
      <w:proofErr w:type="gramStart"/>
      <w:r>
        <w:rPr>
          <w:sz w:val="22"/>
          <w:szCs w:val="22"/>
        </w:rPr>
        <w:t>36</w:t>
      </w:r>
      <w:proofErr w:type="gramEnd"/>
      <w:r>
        <w:rPr>
          <w:sz w:val="22"/>
          <w:szCs w:val="22"/>
        </w:rPr>
        <w:t xml:space="preserve"> ore di formazione nel 2013, mentre le medie di 27 ore. Questo significa che le grandi organizzazioni prevedono in media un giorno abbondante (9 ore) di formazione in più rispetto alle medie allo stesso costo per dipendente. Ciò significa che le grandi organizzazioni sono capaci di distribuire il costo in formazione in un maggiore numero di dipendenti, abbassandone la spesa per </w:t>
      </w:r>
      <w:proofErr w:type="gramStart"/>
      <w:r>
        <w:rPr>
          <w:sz w:val="22"/>
          <w:szCs w:val="22"/>
        </w:rPr>
        <w:t>dipendente</w:t>
      </w:r>
      <w:proofErr w:type="gramEnd"/>
      <w:r>
        <w:rPr>
          <w:sz w:val="22"/>
          <w:szCs w:val="22"/>
        </w:rPr>
        <w:t xml:space="preserve">. </w:t>
      </w:r>
    </w:p>
    <w:p w14:paraId="71750370" w14:textId="77777777" w:rsidR="00AA0E8B"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8 –</w:t>
      </w:r>
      <w:r w:rsidRPr="00D63E9A">
        <w:rPr>
          <w:rFonts w:ascii="Arial" w:hAnsi="Arial" w:cs="Arial"/>
          <w:b/>
          <w:sz w:val="20"/>
          <w:szCs w:val="20"/>
        </w:rPr>
        <w:t xml:space="preserve"> </w:t>
      </w:r>
      <w:r>
        <w:rPr>
          <w:rFonts w:ascii="Arial" w:hAnsi="Arial" w:cs="Arial"/>
          <w:b/>
          <w:sz w:val="20"/>
          <w:szCs w:val="20"/>
        </w:rPr>
        <w:t>Spesa diretta per dipendente per dimensione delle organizzazioni – 2013</w:t>
      </w:r>
    </w:p>
    <w:p w14:paraId="3111C2AC" w14:textId="77777777" w:rsidR="00AA0E8B" w:rsidRPr="00B93D5D" w:rsidRDefault="00AA0E8B" w:rsidP="00AA0E8B">
      <w:pPr>
        <w:jc w:val="both"/>
        <w:rPr>
          <w:rFonts w:ascii="Arial" w:hAnsi="Arial" w:cs="Arial"/>
          <w:b/>
          <w:sz w:val="20"/>
          <w:szCs w:val="20"/>
        </w:rPr>
      </w:pPr>
    </w:p>
    <w:p w14:paraId="116608F1" w14:textId="77777777" w:rsidR="00AA0E8B" w:rsidRDefault="00AA0E8B" w:rsidP="00AA0E8B">
      <w:pPr>
        <w:widowControl w:val="0"/>
        <w:autoSpaceDE w:val="0"/>
        <w:autoSpaceDN w:val="0"/>
        <w:adjustRightInd w:val="0"/>
        <w:spacing w:after="240"/>
        <w:jc w:val="center"/>
        <w:rPr>
          <w:rFonts w:ascii="Times" w:hAnsi="Times" w:cs="Times"/>
        </w:rPr>
      </w:pPr>
      <w:r>
        <w:rPr>
          <w:rFonts w:ascii="Times" w:hAnsi="Times" w:cs="Times"/>
          <w:noProof/>
        </w:rPr>
        <w:drawing>
          <wp:inline distT="0" distB="0" distL="0" distR="0" wp14:anchorId="7DAB9548" wp14:editId="3A8AE464">
            <wp:extent cx="2739813" cy="2418891"/>
            <wp:effectExtent l="0" t="0" r="3810" b="0"/>
            <wp:docPr id="950"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40950" cy="2419895"/>
                    </a:xfrm>
                    <a:prstGeom prst="rect">
                      <a:avLst/>
                    </a:prstGeom>
                    <a:noFill/>
                    <a:ln>
                      <a:noFill/>
                    </a:ln>
                  </pic:spPr>
                </pic:pic>
              </a:graphicData>
            </a:graphic>
          </wp:inline>
        </w:drawing>
      </w:r>
    </w:p>
    <w:p w14:paraId="1271D1D5" w14:textId="77777777" w:rsidR="00AA0E8B" w:rsidRPr="00591DEB" w:rsidRDefault="00AA0E8B" w:rsidP="00AA0E8B">
      <w:pPr>
        <w:widowControl w:val="0"/>
        <w:autoSpaceDE w:val="0"/>
        <w:autoSpaceDN w:val="0"/>
        <w:adjustRightInd w:val="0"/>
        <w:spacing w:after="240"/>
        <w:jc w:val="both"/>
        <w:rPr>
          <w:sz w:val="22"/>
          <w:szCs w:val="22"/>
        </w:rPr>
      </w:pPr>
      <w:r>
        <w:rPr>
          <w:sz w:val="22"/>
          <w:szCs w:val="22"/>
        </w:rPr>
        <w:t xml:space="preserve">   </w:t>
      </w:r>
      <w:r w:rsidRPr="00812374">
        <w:rPr>
          <w:sz w:val="22"/>
          <w:szCs w:val="22"/>
        </w:rPr>
        <w:t>Come già detto anch</w:t>
      </w:r>
      <w:r>
        <w:rPr>
          <w:sz w:val="22"/>
          <w:szCs w:val="22"/>
        </w:rPr>
        <w:t xml:space="preserve">e il settore influenza il dato della spesa in formazione per dipendente. Ogni organizzazione ha una situazione unica </w:t>
      </w:r>
      <w:proofErr w:type="gramStart"/>
      <w:r>
        <w:rPr>
          <w:sz w:val="22"/>
          <w:szCs w:val="22"/>
        </w:rPr>
        <w:t>ed</w:t>
      </w:r>
      <w:proofErr w:type="gramEnd"/>
      <w:r>
        <w:rPr>
          <w:sz w:val="22"/>
          <w:szCs w:val="22"/>
        </w:rPr>
        <w:t xml:space="preserve"> un unico fabbisogno formativo. Alcune organizzazioni si sono focalizzate in formazione obbligatoria e di conformità. Altre richiedono formazione specifica nel settore di riferimento o in formazione alla vendita. Le combinazioni sono interminabili ma, raggruppando organizzazioni e settori, è possibile fare alcune comparazioni, rilevando l’impatto nel settore. Per esempio nel settore salute e farmaceutica le organizzazioni spendono in media 1,392 dollari in formazione per dipendente, le organizzazioni manifatturiere 535 dollari per dipendente. </w:t>
      </w:r>
    </w:p>
    <w:p w14:paraId="338B8869" w14:textId="77777777" w:rsidR="00AA0E8B" w:rsidRPr="00B93D5D"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9 –</w:t>
      </w:r>
      <w:r w:rsidRPr="00D63E9A">
        <w:rPr>
          <w:rFonts w:ascii="Arial" w:hAnsi="Arial" w:cs="Arial"/>
          <w:b/>
          <w:sz w:val="20"/>
          <w:szCs w:val="20"/>
        </w:rPr>
        <w:t xml:space="preserve"> </w:t>
      </w:r>
      <w:r>
        <w:rPr>
          <w:rFonts w:ascii="Arial" w:hAnsi="Arial" w:cs="Arial"/>
          <w:b/>
          <w:sz w:val="20"/>
          <w:szCs w:val="20"/>
        </w:rPr>
        <w:t>Spesa diretta per dipendente per settore - 2013</w:t>
      </w:r>
    </w:p>
    <w:p w14:paraId="0AFCE82F" w14:textId="77777777" w:rsidR="00AA0E8B" w:rsidRDefault="00AA0E8B" w:rsidP="00AA0E8B">
      <w:pPr>
        <w:widowControl w:val="0"/>
        <w:autoSpaceDE w:val="0"/>
        <w:autoSpaceDN w:val="0"/>
        <w:adjustRightInd w:val="0"/>
        <w:spacing w:after="240"/>
        <w:rPr>
          <w:rFonts w:ascii="Times" w:hAnsi="Times" w:cs="Times"/>
        </w:rPr>
      </w:pPr>
    </w:p>
    <w:p w14:paraId="236403DB" w14:textId="77777777" w:rsidR="00AA0E8B" w:rsidRDefault="00AA0E8B" w:rsidP="00AA0E8B">
      <w:pPr>
        <w:widowControl w:val="0"/>
        <w:autoSpaceDE w:val="0"/>
        <w:autoSpaceDN w:val="0"/>
        <w:adjustRightInd w:val="0"/>
        <w:spacing w:after="240"/>
        <w:rPr>
          <w:rFonts w:ascii="Times" w:hAnsi="Times" w:cs="Times"/>
        </w:rPr>
      </w:pPr>
      <w:r>
        <w:rPr>
          <w:rFonts w:ascii="Times" w:hAnsi="Times" w:cs="Times"/>
          <w:noProof/>
        </w:rPr>
        <w:drawing>
          <wp:inline distT="0" distB="0" distL="0" distR="0" wp14:anchorId="7D68A644" wp14:editId="32BF8C05">
            <wp:extent cx="3790744" cy="2339155"/>
            <wp:effectExtent l="0" t="0" r="0" b="0"/>
            <wp:docPr id="95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791495" cy="2339618"/>
                    </a:xfrm>
                    <a:prstGeom prst="rect">
                      <a:avLst/>
                    </a:prstGeom>
                    <a:noFill/>
                    <a:ln>
                      <a:noFill/>
                    </a:ln>
                  </pic:spPr>
                </pic:pic>
              </a:graphicData>
            </a:graphic>
          </wp:inline>
        </w:drawing>
      </w:r>
    </w:p>
    <w:p w14:paraId="4EF4A58D" w14:textId="77777777" w:rsidR="00AA0E8B" w:rsidRPr="00591DEB" w:rsidRDefault="00AA0E8B" w:rsidP="00AA0E8B">
      <w:pPr>
        <w:widowControl w:val="0"/>
        <w:autoSpaceDE w:val="0"/>
        <w:autoSpaceDN w:val="0"/>
        <w:adjustRightInd w:val="0"/>
        <w:spacing w:after="240"/>
        <w:jc w:val="both"/>
        <w:rPr>
          <w:sz w:val="22"/>
          <w:szCs w:val="22"/>
        </w:rPr>
      </w:pPr>
      <w:r>
        <w:rPr>
          <w:sz w:val="22"/>
          <w:szCs w:val="22"/>
        </w:rPr>
        <w:t xml:space="preserve">   </w:t>
      </w:r>
      <w:r w:rsidRPr="00591DEB">
        <w:rPr>
          <w:sz w:val="22"/>
          <w:szCs w:val="22"/>
        </w:rPr>
        <w:t xml:space="preserve">Il numero di ore in formazione utilizzate per dipendente </w:t>
      </w:r>
      <w:r>
        <w:rPr>
          <w:sz w:val="22"/>
          <w:szCs w:val="22"/>
        </w:rPr>
        <w:t xml:space="preserve">è un altro fattore importante che misura la totale condivisione dei programmi formazione e sviluppo di un’organizzazione. Nel 2013, le organizzazioni hanno riportato in media 31,5 ore di formazione utilizzate per dipendente. Un’ora in più rispetto all’anno precedente; le aziende vincitrici del BEST Award continuano a dimostrare che i propri dipendenti investono di più in ore di formazione rispetto alle aziende consolidate. Sebbene nel corso del 2013 il divario </w:t>
      </w:r>
      <w:proofErr w:type="gramStart"/>
      <w:r>
        <w:rPr>
          <w:sz w:val="22"/>
          <w:szCs w:val="22"/>
        </w:rPr>
        <w:t>si è ridotto</w:t>
      </w:r>
      <w:proofErr w:type="gramEnd"/>
      <w:r>
        <w:rPr>
          <w:sz w:val="22"/>
          <w:szCs w:val="22"/>
        </w:rPr>
        <w:t>, in quanto le aziende BEST Award hanno riportato un dato di 35,5 ore. Tipicamente la dimensione delle aziende non gioca un ruolo fondamentale su questo dato</w:t>
      </w:r>
      <w:proofErr w:type="gramStart"/>
      <w:r>
        <w:rPr>
          <w:sz w:val="22"/>
          <w:szCs w:val="22"/>
        </w:rPr>
        <w:t xml:space="preserve">  </w:t>
      </w:r>
      <w:proofErr w:type="gramEnd"/>
      <w:r>
        <w:rPr>
          <w:sz w:val="22"/>
          <w:szCs w:val="22"/>
        </w:rPr>
        <w:t xml:space="preserve">- 27,1 ore per medie aziende, comparato alle 33,1 per le piccole e alle 36,4 per le grandi. </w:t>
      </w:r>
    </w:p>
    <w:p w14:paraId="1A7FE685" w14:textId="77777777" w:rsidR="00AA0E8B" w:rsidRPr="000C4ECA" w:rsidRDefault="00AA0E8B" w:rsidP="00AA0E8B">
      <w:pPr>
        <w:jc w:val="both"/>
        <w:rPr>
          <w:rFonts w:ascii="Arial" w:hAnsi="Arial" w:cs="Arial"/>
          <w:b/>
          <w:sz w:val="20"/>
          <w:szCs w:val="20"/>
        </w:rPr>
      </w:pPr>
      <w:proofErr w:type="gramStart"/>
      <w:r w:rsidRPr="00D63E9A">
        <w:rPr>
          <w:rFonts w:ascii="Arial" w:hAnsi="Arial" w:cs="Arial"/>
          <w:b/>
          <w:sz w:val="20"/>
          <w:szCs w:val="20"/>
        </w:rPr>
        <w:t>Fig.</w:t>
      </w:r>
      <w:proofErr w:type="gramEnd"/>
      <w:r w:rsidRPr="00D63E9A">
        <w:rPr>
          <w:rFonts w:ascii="Arial" w:hAnsi="Arial" w:cs="Arial"/>
          <w:b/>
          <w:sz w:val="20"/>
          <w:szCs w:val="20"/>
        </w:rPr>
        <w:t xml:space="preserve"> n.</w:t>
      </w:r>
      <w:r>
        <w:rPr>
          <w:rFonts w:ascii="Arial" w:hAnsi="Arial" w:cs="Arial"/>
          <w:b/>
          <w:sz w:val="20"/>
          <w:szCs w:val="20"/>
        </w:rPr>
        <w:t xml:space="preserve"> 10 –</w:t>
      </w:r>
      <w:r w:rsidRPr="00D63E9A">
        <w:rPr>
          <w:rFonts w:ascii="Arial" w:hAnsi="Arial" w:cs="Arial"/>
          <w:b/>
          <w:sz w:val="20"/>
          <w:szCs w:val="20"/>
        </w:rPr>
        <w:t xml:space="preserve"> </w:t>
      </w:r>
      <w:r>
        <w:rPr>
          <w:rFonts w:ascii="Arial" w:hAnsi="Arial" w:cs="Arial"/>
          <w:b/>
          <w:sz w:val="20"/>
          <w:szCs w:val="20"/>
        </w:rPr>
        <w:t>Ore di formazione utilizzate per dipendente - 2013</w:t>
      </w:r>
    </w:p>
    <w:p w14:paraId="37BB3D0E" w14:textId="77777777" w:rsidR="00AA0E8B" w:rsidRDefault="00AA0E8B" w:rsidP="00AA0E8B">
      <w:pPr>
        <w:widowControl w:val="0"/>
        <w:autoSpaceDE w:val="0"/>
        <w:autoSpaceDN w:val="0"/>
        <w:adjustRightInd w:val="0"/>
        <w:spacing w:after="240"/>
        <w:rPr>
          <w:rFonts w:ascii="Times" w:hAnsi="Times" w:cs="Times"/>
          <w:sz w:val="26"/>
          <w:szCs w:val="26"/>
        </w:rPr>
      </w:pPr>
      <w:r>
        <w:rPr>
          <w:rFonts w:ascii="Times" w:hAnsi="Times" w:cs="Times"/>
          <w:noProof/>
        </w:rPr>
        <w:drawing>
          <wp:inline distT="0" distB="0" distL="0" distR="0" wp14:anchorId="796B6578" wp14:editId="28209BA4">
            <wp:extent cx="4248785" cy="2688322"/>
            <wp:effectExtent l="0" t="0" r="0" b="4445"/>
            <wp:docPr id="3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48785" cy="2688322"/>
                    </a:xfrm>
                    <a:prstGeom prst="rect">
                      <a:avLst/>
                    </a:prstGeom>
                    <a:noFill/>
                    <a:ln>
                      <a:noFill/>
                    </a:ln>
                  </pic:spPr>
                </pic:pic>
              </a:graphicData>
            </a:graphic>
          </wp:inline>
        </w:drawing>
      </w:r>
    </w:p>
    <w:p w14:paraId="25221987" w14:textId="77777777" w:rsidR="00AA0E8B" w:rsidRDefault="00AA0E8B" w:rsidP="00AA0E8B">
      <w:pPr>
        <w:widowControl w:val="0"/>
        <w:autoSpaceDE w:val="0"/>
        <w:autoSpaceDN w:val="0"/>
        <w:adjustRightInd w:val="0"/>
        <w:spacing w:after="240"/>
        <w:jc w:val="both"/>
        <w:rPr>
          <w:sz w:val="22"/>
          <w:szCs w:val="22"/>
        </w:rPr>
      </w:pPr>
      <w:r>
        <w:rPr>
          <w:sz w:val="22"/>
          <w:szCs w:val="22"/>
        </w:rPr>
        <w:t xml:space="preserve">   </w:t>
      </w:r>
      <w:r w:rsidRPr="00A270E6">
        <w:rPr>
          <w:sz w:val="22"/>
          <w:szCs w:val="22"/>
        </w:rPr>
        <w:t xml:space="preserve">Nel 2013 abbiamo visto un’economia stabile in cui le organizzazioni hanno continuato </w:t>
      </w:r>
      <w:proofErr w:type="gramStart"/>
      <w:r w:rsidRPr="00A270E6">
        <w:rPr>
          <w:sz w:val="22"/>
          <w:szCs w:val="22"/>
        </w:rPr>
        <w:t>ad</w:t>
      </w:r>
      <w:proofErr w:type="gramEnd"/>
      <w:r w:rsidRPr="00A270E6">
        <w:rPr>
          <w:sz w:val="22"/>
          <w:szCs w:val="22"/>
        </w:rPr>
        <w:t xml:space="preserve"> investire nei propri dipendenti in formazione e sviluppo. </w:t>
      </w:r>
    </w:p>
    <w:p w14:paraId="283A28E9" w14:textId="77777777" w:rsidR="00AA0E8B" w:rsidRDefault="00AA0E8B" w:rsidP="00AA0E8B">
      <w:pPr>
        <w:widowControl w:val="0"/>
        <w:autoSpaceDE w:val="0"/>
        <w:autoSpaceDN w:val="0"/>
        <w:adjustRightInd w:val="0"/>
        <w:spacing w:after="240"/>
        <w:jc w:val="both"/>
        <w:rPr>
          <w:sz w:val="22"/>
          <w:szCs w:val="22"/>
        </w:rPr>
      </w:pPr>
      <w:r>
        <w:rPr>
          <w:sz w:val="22"/>
          <w:szCs w:val="22"/>
        </w:rPr>
        <w:t xml:space="preserve">   L’obiettivo di</w:t>
      </w:r>
      <w:r w:rsidRPr="00D228FE">
        <w:rPr>
          <w:sz w:val="22"/>
          <w:szCs w:val="22"/>
        </w:rPr>
        <w:t xml:space="preserve"> questa introduzione, volta a dare un quadro generale del settore dell’educazione e della formazione professionale a livello internazionale, </w:t>
      </w:r>
      <w:r>
        <w:rPr>
          <w:sz w:val="22"/>
          <w:szCs w:val="22"/>
        </w:rPr>
        <w:t>è quello che sia</w:t>
      </w:r>
      <w:r w:rsidRPr="00D228FE">
        <w:rPr>
          <w:sz w:val="22"/>
          <w:szCs w:val="22"/>
        </w:rPr>
        <w:t xml:space="preserve"> utilizzata dai </w:t>
      </w:r>
      <w:r w:rsidRPr="0084455F">
        <w:rPr>
          <w:i/>
          <w:sz w:val="22"/>
          <w:szCs w:val="22"/>
        </w:rPr>
        <w:t>manager</w:t>
      </w:r>
      <w:r w:rsidRPr="00D228FE">
        <w:rPr>
          <w:sz w:val="22"/>
          <w:szCs w:val="22"/>
        </w:rPr>
        <w:t xml:space="preserve">, dai responsabili della formazione e sviluppo e dagli addetti ai lavori per meglio comprendere come la formazione possa influenzare direttamente le </w:t>
      </w:r>
      <w:r w:rsidRPr="007A45C1">
        <w:rPr>
          <w:i/>
          <w:sz w:val="22"/>
          <w:szCs w:val="22"/>
        </w:rPr>
        <w:t>performance</w:t>
      </w:r>
      <w:r w:rsidRPr="00D228FE">
        <w:rPr>
          <w:sz w:val="22"/>
          <w:szCs w:val="22"/>
        </w:rPr>
        <w:t xml:space="preserve"> dei dipendenti e quindi dell’organizzazione stessa, e sostenere i professionisti del settore a supportare e </w:t>
      </w:r>
      <w:r>
        <w:rPr>
          <w:sz w:val="22"/>
          <w:szCs w:val="22"/>
        </w:rPr>
        <w:t>a sviluppare</w:t>
      </w:r>
      <w:r w:rsidRPr="00D228FE">
        <w:rPr>
          <w:sz w:val="22"/>
          <w:szCs w:val="22"/>
        </w:rPr>
        <w:t xml:space="preserve"> </w:t>
      </w:r>
      <w:r>
        <w:rPr>
          <w:sz w:val="22"/>
          <w:szCs w:val="22"/>
        </w:rPr>
        <w:t>la</w:t>
      </w:r>
      <w:r w:rsidRPr="00D228FE">
        <w:rPr>
          <w:sz w:val="22"/>
          <w:szCs w:val="22"/>
        </w:rPr>
        <w:t xml:space="preserve"> formazione</w:t>
      </w:r>
      <w:r>
        <w:rPr>
          <w:sz w:val="22"/>
          <w:szCs w:val="22"/>
        </w:rPr>
        <w:t xml:space="preserve"> e lo sviluppo delle persone </w:t>
      </w:r>
      <w:proofErr w:type="gramStart"/>
      <w:r>
        <w:rPr>
          <w:sz w:val="22"/>
          <w:szCs w:val="22"/>
        </w:rPr>
        <w:t>ed</w:t>
      </w:r>
      <w:proofErr w:type="gramEnd"/>
      <w:r>
        <w:rPr>
          <w:sz w:val="22"/>
          <w:szCs w:val="22"/>
        </w:rPr>
        <w:t xml:space="preserve"> il valore che possono portare nell’accrescere </w:t>
      </w:r>
      <w:r w:rsidRPr="00D228FE">
        <w:rPr>
          <w:sz w:val="22"/>
          <w:szCs w:val="22"/>
        </w:rPr>
        <w:t>la competitività dell’organizzazione.</w:t>
      </w:r>
    </w:p>
    <w:p w14:paraId="5A403674" w14:textId="77777777" w:rsidR="00AA0E8B" w:rsidRDefault="00AA0E8B" w:rsidP="00AA0E8B">
      <w:pPr>
        <w:ind w:left="1980"/>
        <w:rPr>
          <w:color w:val="000000"/>
          <w:sz w:val="22"/>
          <w:szCs w:val="22"/>
        </w:rPr>
      </w:pPr>
    </w:p>
    <w:p w14:paraId="6C75E8BD" w14:textId="77777777" w:rsidR="00AA0E8B" w:rsidRDefault="00AA0E8B" w:rsidP="00AA0E8B">
      <w:pPr>
        <w:ind w:left="1980"/>
        <w:rPr>
          <w:color w:val="000000"/>
          <w:sz w:val="22"/>
          <w:szCs w:val="22"/>
        </w:rPr>
      </w:pPr>
    </w:p>
    <w:p w14:paraId="026E8A62" w14:textId="77777777" w:rsidR="00AA0E8B" w:rsidRPr="00DB146D" w:rsidRDefault="00AA0E8B" w:rsidP="00AA0E8B">
      <w:pPr>
        <w:rPr>
          <w:rFonts w:ascii="Arial" w:hAnsi="Arial" w:cs="Arial"/>
          <w:b/>
          <w:i/>
        </w:rPr>
      </w:pPr>
      <w:proofErr w:type="gramStart"/>
      <w:r>
        <w:rPr>
          <w:rFonts w:ascii="Arial" w:hAnsi="Arial" w:cs="Arial"/>
          <w:b/>
          <w:i/>
        </w:rPr>
        <w:t>b.</w:t>
      </w:r>
      <w:proofErr w:type="gramEnd"/>
      <w:r>
        <w:rPr>
          <w:rFonts w:ascii="Arial" w:hAnsi="Arial" w:cs="Arial"/>
          <w:b/>
          <w:i/>
        </w:rPr>
        <w:t xml:space="preserve"> </w:t>
      </w:r>
      <w:r w:rsidRPr="00DB146D">
        <w:rPr>
          <w:rFonts w:ascii="Arial" w:hAnsi="Arial" w:cs="Arial"/>
          <w:b/>
          <w:i/>
        </w:rPr>
        <w:t>Europa</w:t>
      </w:r>
      <w:r>
        <w:rPr>
          <w:rFonts w:ascii="Arial" w:hAnsi="Arial" w:cs="Arial"/>
          <w:b/>
          <w:i/>
        </w:rPr>
        <w:fldChar w:fldCharType="begin"/>
      </w:r>
      <w:r>
        <w:instrText xml:space="preserve"> XE "</w:instrText>
      </w:r>
      <w:r>
        <w:rPr>
          <w:rFonts w:ascii="Arial" w:hAnsi="Arial" w:cs="Arial"/>
          <w:b/>
          <w:i/>
        </w:rPr>
        <w:instrText xml:space="preserve">b. </w:instrText>
      </w:r>
      <w:r w:rsidRPr="00DB146D">
        <w:rPr>
          <w:rFonts w:ascii="Arial" w:hAnsi="Arial" w:cs="Arial"/>
          <w:b/>
          <w:i/>
        </w:rPr>
        <w:instrText>Europa</w:instrText>
      </w:r>
      <w:r>
        <w:instrText xml:space="preserve">" </w:instrText>
      </w:r>
      <w:r>
        <w:rPr>
          <w:rFonts w:ascii="Arial" w:hAnsi="Arial" w:cs="Arial"/>
          <w:b/>
          <w:i/>
        </w:rPr>
        <w:fldChar w:fldCharType="end"/>
      </w:r>
    </w:p>
    <w:p w14:paraId="65BF7E7B" w14:textId="77777777" w:rsidR="00AA0E8B" w:rsidRPr="005E249B" w:rsidRDefault="00AA0E8B" w:rsidP="00AA0E8B">
      <w:pPr>
        <w:pStyle w:val="NormaleWeb"/>
        <w:spacing w:before="0" w:beforeAutospacing="0" w:after="0" w:afterAutospacing="0" w:line="260" w:lineRule="exact"/>
        <w:jc w:val="both"/>
        <w:rPr>
          <w:sz w:val="22"/>
          <w:szCs w:val="22"/>
        </w:rPr>
      </w:pPr>
    </w:p>
    <w:p w14:paraId="7E642D51" w14:textId="77777777" w:rsidR="00AA0E8B"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56F05">
        <w:rPr>
          <w:sz w:val="22"/>
          <w:szCs w:val="22"/>
        </w:rPr>
        <w:t>E’ da poco disponibile la nuova p</w:t>
      </w:r>
      <w:r>
        <w:rPr>
          <w:sz w:val="22"/>
          <w:szCs w:val="22"/>
        </w:rPr>
        <w:t xml:space="preserve">rogrammazione europea 2014-2020; </w:t>
      </w:r>
      <w:r w:rsidRPr="00D56F05">
        <w:rPr>
          <w:sz w:val="22"/>
          <w:szCs w:val="22"/>
        </w:rPr>
        <w:t xml:space="preserve">troverete un approfondimento legato alla nuova programmazione europea nella sezione di questo libro dedicata ai fondi per la formazione, in cui abbiamo riassunto anche una parte legata alle statistiche e ai finanziamenti erogati dal 2007 </w:t>
      </w:r>
      <w:proofErr w:type="gramStart"/>
      <w:r w:rsidRPr="00D56F05">
        <w:rPr>
          <w:sz w:val="22"/>
          <w:szCs w:val="22"/>
        </w:rPr>
        <w:t>ad</w:t>
      </w:r>
      <w:proofErr w:type="gramEnd"/>
      <w:r w:rsidRPr="00D56F05">
        <w:rPr>
          <w:sz w:val="22"/>
          <w:szCs w:val="22"/>
        </w:rPr>
        <w:t xml:space="preserve"> oggi.</w:t>
      </w:r>
    </w:p>
    <w:p w14:paraId="642B7E33" w14:textId="77777777" w:rsidR="00AA0E8B" w:rsidRDefault="00AA0E8B" w:rsidP="00AA0E8B">
      <w:pPr>
        <w:pStyle w:val="NormaleWeb"/>
        <w:spacing w:before="0" w:beforeAutospacing="0" w:after="0" w:afterAutospacing="0" w:line="260" w:lineRule="exact"/>
        <w:jc w:val="both"/>
        <w:rPr>
          <w:sz w:val="22"/>
          <w:szCs w:val="22"/>
        </w:rPr>
      </w:pPr>
    </w:p>
    <w:p w14:paraId="73955B71" w14:textId="77777777" w:rsidR="00AA0E8B"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56F05">
        <w:rPr>
          <w:sz w:val="22"/>
          <w:szCs w:val="22"/>
        </w:rPr>
        <w:t xml:space="preserve">In </w:t>
      </w:r>
      <w:proofErr w:type="gramStart"/>
      <w:r w:rsidRPr="00D56F05">
        <w:rPr>
          <w:sz w:val="22"/>
          <w:szCs w:val="22"/>
        </w:rPr>
        <w:t>questo</w:t>
      </w:r>
      <w:proofErr w:type="gramEnd"/>
      <w:r w:rsidRPr="00D56F05">
        <w:rPr>
          <w:sz w:val="22"/>
          <w:szCs w:val="22"/>
        </w:rPr>
        <w:t xml:space="preserve"> ambito, invece, ripercorriamo le tappe fondamentali della formazione in Europa.</w:t>
      </w:r>
      <w:r w:rsidRPr="00D56F05">
        <w:rPr>
          <w:rStyle w:val="Rimandonotaapidipagina"/>
          <w:sz w:val="22"/>
          <w:szCs w:val="22"/>
        </w:rPr>
        <w:footnoteReference w:id="4"/>
      </w:r>
    </w:p>
    <w:p w14:paraId="43E1F3FD" w14:textId="77777777" w:rsidR="00AA0E8B" w:rsidRDefault="00AA0E8B" w:rsidP="00AA0E8B">
      <w:pPr>
        <w:pStyle w:val="NormaleWeb"/>
        <w:spacing w:before="0" w:beforeAutospacing="0" w:after="0" w:afterAutospacing="0" w:line="260" w:lineRule="exact"/>
        <w:jc w:val="both"/>
        <w:rPr>
          <w:sz w:val="22"/>
          <w:szCs w:val="22"/>
        </w:rPr>
      </w:pPr>
    </w:p>
    <w:p w14:paraId="4E5A0727" w14:textId="77777777" w:rsidR="00AA0E8B" w:rsidRPr="005E249B"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5E249B">
        <w:rPr>
          <w:sz w:val="22"/>
          <w:szCs w:val="22"/>
        </w:rPr>
        <w:t xml:space="preserve">Nel 2002 fu avviato il processo di </w:t>
      </w:r>
      <w:proofErr w:type="spellStart"/>
      <w:r w:rsidRPr="005E249B">
        <w:rPr>
          <w:sz w:val="22"/>
          <w:szCs w:val="22"/>
        </w:rPr>
        <w:t>Copenhagen</w:t>
      </w:r>
      <w:proofErr w:type="spellEnd"/>
      <w:r w:rsidRPr="005E249B">
        <w:rPr>
          <w:sz w:val="22"/>
          <w:szCs w:val="22"/>
        </w:rPr>
        <w:t xml:space="preserve"> per raggiungere gli</w:t>
      </w:r>
      <w:r>
        <w:t xml:space="preserve"> </w:t>
      </w:r>
      <w:r w:rsidRPr="005E249B">
        <w:rPr>
          <w:sz w:val="22"/>
          <w:szCs w:val="22"/>
        </w:rPr>
        <w:t xml:space="preserve">obiettivi della Strategia di Lisbona delineati per il settore della formazione professionale. Questo processo ha evidenziato che per promuovere la mobilità e l’apprendimento permanente nel settore europeo della formazione professionale </w:t>
      </w:r>
      <w:proofErr w:type="gramStart"/>
      <w:r w:rsidRPr="005E249B">
        <w:rPr>
          <w:sz w:val="22"/>
          <w:szCs w:val="22"/>
        </w:rPr>
        <w:t>sono</w:t>
      </w:r>
      <w:proofErr w:type="gramEnd"/>
      <w:r w:rsidRPr="005E249B">
        <w:rPr>
          <w:sz w:val="22"/>
          <w:szCs w:val="22"/>
        </w:rPr>
        <w:t xml:space="preserve"> necessarie una profonda permeabilità tra i diversi sistemi formativi e una maggiore trasparenza e comparabilità delle qualifiche. Per raggiungere questi obiettivi, sono stati definiti strumenti e</w:t>
      </w:r>
      <w:r>
        <w:rPr>
          <w:sz w:val="22"/>
          <w:szCs w:val="22"/>
        </w:rPr>
        <w:t xml:space="preserve"> principi comuni, che riassumiamo nelle tabelle</w:t>
      </w:r>
      <w:r w:rsidRPr="005E249B">
        <w:rPr>
          <w:sz w:val="22"/>
          <w:szCs w:val="22"/>
        </w:rPr>
        <w:t xml:space="preserve"> di seguito:</w:t>
      </w:r>
    </w:p>
    <w:p w14:paraId="6ED13FA0" w14:textId="77777777" w:rsidR="00AA0E8B" w:rsidRDefault="00AA0E8B" w:rsidP="00AA0E8B">
      <w:pPr>
        <w:pStyle w:val="NormaleWeb"/>
        <w:spacing w:before="0" w:beforeAutospacing="0" w:after="0" w:afterAutospacing="0"/>
        <w:jc w:val="both"/>
        <w:rPr>
          <w:b/>
        </w:rPr>
      </w:pPr>
    </w:p>
    <w:p w14:paraId="6C82E2DF" w14:textId="77777777" w:rsidR="00AA0E8B" w:rsidRDefault="00AA0E8B" w:rsidP="00AA0E8B">
      <w:pPr>
        <w:pStyle w:val="NormaleWeb"/>
        <w:spacing w:before="0" w:beforeAutospacing="0" w:after="0" w:afterAutospacing="0"/>
        <w:jc w:val="both"/>
        <w:rPr>
          <w:b/>
        </w:rPr>
      </w:pPr>
    </w:p>
    <w:p w14:paraId="744667B0" w14:textId="77777777" w:rsidR="00AA0E8B" w:rsidRDefault="00AA0E8B" w:rsidP="00AA0E8B">
      <w:pPr>
        <w:pStyle w:val="NormaleWeb"/>
        <w:spacing w:before="0" w:beforeAutospacing="0" w:after="0" w:afterAutospacing="0"/>
        <w:jc w:val="both"/>
        <w:rPr>
          <w:rFonts w:ascii="Arial" w:hAnsi="Arial" w:cs="Arial"/>
          <w:b/>
          <w:sz w:val="20"/>
          <w:szCs w:val="20"/>
        </w:rPr>
      </w:pPr>
      <w:proofErr w:type="spellStart"/>
      <w:r w:rsidRPr="0039494B">
        <w:rPr>
          <w:rFonts w:ascii="Arial" w:hAnsi="Arial" w:cs="Arial"/>
          <w:b/>
          <w:sz w:val="20"/>
          <w:szCs w:val="20"/>
        </w:rPr>
        <w:t>Tab</w:t>
      </w:r>
      <w:proofErr w:type="spellEnd"/>
      <w:r w:rsidRPr="0039494B">
        <w:rPr>
          <w:rFonts w:ascii="Arial" w:hAnsi="Arial" w:cs="Arial"/>
          <w:b/>
          <w:sz w:val="20"/>
          <w:szCs w:val="20"/>
        </w:rPr>
        <w:t>. n. 1</w:t>
      </w:r>
      <w:proofErr w:type="gramStart"/>
      <w:r w:rsidRPr="0039494B">
        <w:rPr>
          <w:rFonts w:ascii="Arial" w:hAnsi="Arial" w:cs="Arial"/>
          <w:b/>
          <w:sz w:val="20"/>
          <w:szCs w:val="20"/>
        </w:rPr>
        <w:t xml:space="preserve">  </w:t>
      </w:r>
      <w:proofErr w:type="gramEnd"/>
      <w:r w:rsidRPr="0039494B">
        <w:rPr>
          <w:rFonts w:ascii="Arial" w:hAnsi="Arial" w:cs="Arial"/>
          <w:b/>
          <w:sz w:val="20"/>
          <w:szCs w:val="20"/>
        </w:rPr>
        <w:t>- Strumenti europei comuni</w:t>
      </w:r>
      <w:r>
        <w:rPr>
          <w:rFonts w:ascii="Arial" w:hAnsi="Arial" w:cs="Arial"/>
          <w:b/>
          <w:sz w:val="20"/>
          <w:szCs w:val="20"/>
        </w:rPr>
        <w:t xml:space="preserve"> – la storia</w:t>
      </w:r>
    </w:p>
    <w:p w14:paraId="4C04D3AE" w14:textId="77777777" w:rsidR="00AA0E8B" w:rsidRPr="0039494B" w:rsidRDefault="00AA0E8B" w:rsidP="00AA0E8B">
      <w:pPr>
        <w:pStyle w:val="NormaleWeb"/>
        <w:spacing w:before="0" w:beforeAutospacing="0" w:after="0" w:afterAutospacing="0"/>
        <w:jc w:val="both"/>
        <w:rPr>
          <w:rFonts w:ascii="Arial" w:hAnsi="Arial" w:cs="Arial"/>
          <w:b/>
          <w:sz w:val="20"/>
          <w:szCs w:val="20"/>
        </w:rPr>
      </w:pPr>
    </w:p>
    <w:tbl>
      <w:tblPr>
        <w:tblStyle w:val="Sfondochiaro-Colore1"/>
        <w:tblW w:w="0" w:type="auto"/>
        <w:tblLook w:val="01E0" w:firstRow="1" w:lastRow="1" w:firstColumn="1" w:lastColumn="1" w:noHBand="0" w:noVBand="0"/>
      </w:tblPr>
      <w:tblGrid>
        <w:gridCol w:w="4889"/>
        <w:gridCol w:w="4889"/>
      </w:tblGrid>
      <w:tr w:rsidR="00AA0E8B" w:rsidRPr="00A04413" w14:paraId="15E77450" w14:textId="77777777" w:rsidTr="00A90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7039A714" w14:textId="77777777" w:rsidR="00AA0E8B" w:rsidRPr="0039494B" w:rsidRDefault="00AA0E8B" w:rsidP="00A90A48">
            <w:pPr>
              <w:pStyle w:val="NormaleWeb"/>
              <w:spacing w:before="0" w:beforeAutospacing="0" w:after="0" w:afterAutospacing="0"/>
              <w:jc w:val="both"/>
              <w:rPr>
                <w:rFonts w:ascii="Arial" w:hAnsi="Arial" w:cs="Arial"/>
                <w:i/>
                <w:sz w:val="18"/>
                <w:szCs w:val="18"/>
              </w:rPr>
            </w:pPr>
            <w:proofErr w:type="spellStart"/>
            <w:r w:rsidRPr="0039494B">
              <w:rPr>
                <w:rFonts w:ascii="Arial" w:hAnsi="Arial" w:cs="Arial"/>
                <w:i/>
                <w:color w:val="231F20"/>
                <w:sz w:val="18"/>
                <w:szCs w:val="18"/>
              </w:rPr>
              <w:t>European</w:t>
            </w:r>
            <w:proofErr w:type="spellEnd"/>
            <w:r w:rsidRPr="0039494B">
              <w:rPr>
                <w:rFonts w:ascii="Arial" w:hAnsi="Arial" w:cs="Arial"/>
                <w:i/>
                <w:color w:val="231F20"/>
                <w:sz w:val="18"/>
                <w:szCs w:val="18"/>
              </w:rPr>
              <w:t xml:space="preserve"> </w:t>
            </w:r>
            <w:proofErr w:type="spellStart"/>
            <w:r w:rsidRPr="0039494B">
              <w:rPr>
                <w:rFonts w:ascii="Arial" w:hAnsi="Arial" w:cs="Arial"/>
                <w:i/>
                <w:color w:val="231F20"/>
                <w:sz w:val="18"/>
                <w:szCs w:val="18"/>
              </w:rPr>
              <w:t>qualifications</w:t>
            </w:r>
            <w:proofErr w:type="spellEnd"/>
            <w:r w:rsidRPr="0039494B">
              <w:rPr>
                <w:rFonts w:ascii="Arial" w:hAnsi="Arial" w:cs="Arial"/>
                <w:i/>
                <w:color w:val="231F20"/>
                <w:sz w:val="18"/>
                <w:szCs w:val="18"/>
              </w:rPr>
              <w:t xml:space="preserve"> </w:t>
            </w:r>
            <w:proofErr w:type="spellStart"/>
            <w:r w:rsidRPr="0039494B">
              <w:rPr>
                <w:rFonts w:ascii="Arial" w:hAnsi="Arial" w:cs="Arial"/>
                <w:i/>
                <w:color w:val="231F20"/>
                <w:sz w:val="18"/>
                <w:szCs w:val="18"/>
              </w:rPr>
              <w:t>framework</w:t>
            </w:r>
            <w:proofErr w:type="spellEnd"/>
            <w:r w:rsidRPr="0039494B">
              <w:rPr>
                <w:rFonts w:ascii="Arial" w:hAnsi="Arial" w:cs="Arial"/>
                <w:i/>
                <w:color w:val="231F20"/>
                <w:sz w:val="18"/>
                <w:szCs w:val="18"/>
              </w:rPr>
              <w:t xml:space="preserve"> (EQF)</w:t>
            </w:r>
          </w:p>
        </w:tc>
        <w:tc>
          <w:tcPr>
            <w:cnfStyle w:val="000100000000" w:firstRow="0" w:lastRow="0" w:firstColumn="0" w:lastColumn="1" w:oddVBand="0" w:evenVBand="0" w:oddHBand="0" w:evenHBand="0" w:firstRowFirstColumn="0" w:firstRowLastColumn="0" w:lastRowFirstColumn="0" w:lastRowLastColumn="0"/>
            <w:tcW w:w="4889" w:type="dxa"/>
          </w:tcPr>
          <w:p w14:paraId="6ECBA78B" w14:textId="77777777" w:rsidR="00AA0E8B" w:rsidRPr="00F25DDA" w:rsidRDefault="00AA0E8B" w:rsidP="00A90A48">
            <w:pPr>
              <w:pStyle w:val="NormaleWeb"/>
              <w:spacing w:before="0" w:beforeAutospacing="0" w:after="0" w:afterAutospacing="0"/>
              <w:jc w:val="both"/>
              <w:rPr>
                <w:rFonts w:ascii="Arial" w:hAnsi="Arial" w:cs="Arial"/>
                <w:b w:val="0"/>
                <w:sz w:val="18"/>
                <w:szCs w:val="18"/>
              </w:rPr>
            </w:pPr>
            <w:r w:rsidRPr="00F25DDA">
              <w:rPr>
                <w:rFonts w:ascii="Arial" w:hAnsi="Arial" w:cs="Arial"/>
                <w:b w:val="0"/>
                <w:sz w:val="18"/>
                <w:szCs w:val="18"/>
              </w:rPr>
              <w:t>E’ un “cruscotto di bordo”</w:t>
            </w:r>
            <w:r w:rsidRPr="00F25DDA">
              <w:rPr>
                <w:rFonts w:ascii="Arial" w:hAnsi="Arial" w:cs="Arial"/>
                <w:b w:val="0"/>
                <w:i/>
                <w:sz w:val="18"/>
                <w:szCs w:val="18"/>
              </w:rPr>
              <w:t xml:space="preserve"> </w:t>
            </w:r>
            <w:r w:rsidRPr="00F25DDA">
              <w:rPr>
                <w:rFonts w:ascii="Arial" w:hAnsi="Arial" w:cs="Arial"/>
                <w:b w:val="0"/>
                <w:sz w:val="18"/>
                <w:szCs w:val="18"/>
              </w:rPr>
              <w:t>che aiuta a comparare le diverse qualifiche europee a supporto dell’apprendimento permanente lungo tutto l’arco della vita, l’educazione e la mobilità.</w:t>
            </w:r>
          </w:p>
        </w:tc>
      </w:tr>
      <w:tr w:rsidR="00AA0E8B" w:rsidRPr="00A04413" w14:paraId="3CF65D51" w14:textId="77777777" w:rsidTr="00A90A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6B65DB6E" w14:textId="77777777" w:rsidR="00AA0E8B" w:rsidRPr="0039494B" w:rsidRDefault="00AA0E8B" w:rsidP="00A90A48">
            <w:pPr>
              <w:pStyle w:val="NormaleWeb"/>
              <w:spacing w:before="0" w:beforeAutospacing="0" w:after="0" w:afterAutospacing="0"/>
              <w:jc w:val="both"/>
              <w:rPr>
                <w:rFonts w:ascii="Arial" w:hAnsi="Arial" w:cs="Arial"/>
                <w:i/>
                <w:sz w:val="18"/>
                <w:szCs w:val="18"/>
                <w:lang w:val="en-GB"/>
              </w:rPr>
            </w:pPr>
            <w:r w:rsidRPr="0039494B">
              <w:rPr>
                <w:rFonts w:ascii="Arial" w:hAnsi="Arial" w:cs="Arial"/>
                <w:i/>
                <w:color w:val="231F20"/>
                <w:sz w:val="18"/>
                <w:szCs w:val="18"/>
                <w:lang w:val="en-GB"/>
              </w:rPr>
              <w:t>European credit system for VET (ECVET)</w:t>
            </w:r>
          </w:p>
        </w:tc>
        <w:tc>
          <w:tcPr>
            <w:cnfStyle w:val="000100000000" w:firstRow="0" w:lastRow="0" w:firstColumn="0" w:lastColumn="1" w:oddVBand="0" w:evenVBand="0" w:oddHBand="0" w:evenHBand="0" w:firstRowFirstColumn="0" w:firstRowLastColumn="0" w:lastRowFirstColumn="0" w:lastRowLastColumn="0"/>
            <w:tcW w:w="4889" w:type="dxa"/>
          </w:tcPr>
          <w:p w14:paraId="3D9FF7E8" w14:textId="77777777" w:rsidR="00AA0E8B" w:rsidRPr="00F25DDA" w:rsidRDefault="00AA0E8B" w:rsidP="00A90A48">
            <w:pPr>
              <w:pStyle w:val="NormaleWeb"/>
              <w:spacing w:before="0" w:beforeAutospacing="0" w:after="0" w:afterAutospacing="0"/>
              <w:jc w:val="both"/>
              <w:rPr>
                <w:rFonts w:ascii="Arial" w:hAnsi="Arial" w:cs="Arial"/>
                <w:b w:val="0"/>
                <w:sz w:val="18"/>
                <w:szCs w:val="18"/>
              </w:rPr>
            </w:pPr>
            <w:r w:rsidRPr="00F25DDA">
              <w:rPr>
                <w:rFonts w:ascii="Arial" w:hAnsi="Arial" w:cs="Arial"/>
                <w:b w:val="0"/>
                <w:sz w:val="18"/>
                <w:szCs w:val="18"/>
              </w:rPr>
              <w:t xml:space="preserve">E’ uno strumento che aiuta a validare, riconoscere </w:t>
            </w:r>
            <w:proofErr w:type="gramStart"/>
            <w:r w:rsidRPr="00F25DDA">
              <w:rPr>
                <w:rFonts w:ascii="Arial" w:hAnsi="Arial" w:cs="Arial"/>
                <w:b w:val="0"/>
                <w:sz w:val="18"/>
                <w:szCs w:val="18"/>
              </w:rPr>
              <w:t>ed</w:t>
            </w:r>
            <w:proofErr w:type="gramEnd"/>
            <w:r w:rsidRPr="00F25DDA">
              <w:rPr>
                <w:rFonts w:ascii="Arial" w:hAnsi="Arial" w:cs="Arial"/>
                <w:b w:val="0"/>
                <w:sz w:val="18"/>
                <w:szCs w:val="18"/>
              </w:rPr>
              <w:t xml:space="preserve"> accumulare competenze e conoscenze in ambito lavorativo, acquisite durante la permanenza in un altro paese o in altro ruolo/mansione, tale che questa esperienza contribuisca ad accrescere le qualifiche professionali.</w:t>
            </w:r>
          </w:p>
        </w:tc>
      </w:tr>
      <w:tr w:rsidR="00AA0E8B" w:rsidRPr="00A04413" w14:paraId="1DDBBC90" w14:textId="77777777" w:rsidTr="00A90A48">
        <w:tc>
          <w:tcPr>
            <w:cnfStyle w:val="001000000000" w:firstRow="0" w:lastRow="0" w:firstColumn="1" w:lastColumn="0" w:oddVBand="0" w:evenVBand="0" w:oddHBand="0" w:evenHBand="0" w:firstRowFirstColumn="0" w:firstRowLastColumn="0" w:lastRowFirstColumn="0" w:lastRowLastColumn="0"/>
            <w:tcW w:w="4889" w:type="dxa"/>
          </w:tcPr>
          <w:p w14:paraId="5266C4B1" w14:textId="77777777" w:rsidR="00AA0E8B" w:rsidRPr="0039494B" w:rsidRDefault="00AA0E8B" w:rsidP="00A90A48">
            <w:pPr>
              <w:pStyle w:val="NormaleWeb"/>
              <w:spacing w:before="0" w:beforeAutospacing="0" w:after="0" w:afterAutospacing="0"/>
              <w:jc w:val="both"/>
              <w:rPr>
                <w:rFonts w:ascii="Arial" w:hAnsi="Arial" w:cs="Arial"/>
                <w:i/>
                <w:sz w:val="18"/>
                <w:szCs w:val="18"/>
                <w:lang w:val="en-GB"/>
              </w:rPr>
            </w:pPr>
            <w:r w:rsidRPr="0039494B">
              <w:rPr>
                <w:rFonts w:ascii="Arial" w:hAnsi="Arial" w:cs="Arial"/>
                <w:i/>
                <w:color w:val="231F20"/>
                <w:sz w:val="18"/>
                <w:szCs w:val="18"/>
                <w:lang w:val="en-GB"/>
              </w:rPr>
              <w:t>European quality assurance framework for VET (EQAVET)</w:t>
            </w:r>
          </w:p>
        </w:tc>
        <w:tc>
          <w:tcPr>
            <w:cnfStyle w:val="000100000000" w:firstRow="0" w:lastRow="0" w:firstColumn="0" w:lastColumn="1" w:oddVBand="0" w:evenVBand="0" w:oddHBand="0" w:evenHBand="0" w:firstRowFirstColumn="0" w:firstRowLastColumn="0" w:lastRowFirstColumn="0" w:lastRowLastColumn="0"/>
            <w:tcW w:w="4889" w:type="dxa"/>
          </w:tcPr>
          <w:p w14:paraId="4B949317" w14:textId="77777777" w:rsidR="00AA0E8B" w:rsidRPr="00F25DDA" w:rsidRDefault="00AA0E8B" w:rsidP="00A90A48">
            <w:pPr>
              <w:pStyle w:val="NormaleWeb"/>
              <w:spacing w:before="0" w:beforeAutospacing="0" w:after="0" w:afterAutospacing="0"/>
              <w:jc w:val="both"/>
              <w:rPr>
                <w:rFonts w:ascii="Arial" w:hAnsi="Arial" w:cs="Arial"/>
                <w:b w:val="0"/>
                <w:sz w:val="18"/>
                <w:szCs w:val="18"/>
              </w:rPr>
            </w:pPr>
            <w:r w:rsidRPr="00F25DDA">
              <w:rPr>
                <w:rFonts w:ascii="Arial" w:hAnsi="Arial" w:cs="Arial"/>
                <w:b w:val="0"/>
                <w:sz w:val="18"/>
                <w:szCs w:val="18"/>
              </w:rPr>
              <w:t xml:space="preserve">Aiuta i paesi a sviluppare, migliorare e stabilire l’efficacia dei loro sistemi d’educazione e formazione professionale e diffondere buone pratiche di gestione </w:t>
            </w:r>
            <w:proofErr w:type="gramStart"/>
            <w:r w:rsidRPr="00F25DDA">
              <w:rPr>
                <w:rFonts w:ascii="Arial" w:hAnsi="Arial" w:cs="Arial"/>
                <w:b w:val="0"/>
                <w:sz w:val="18"/>
                <w:szCs w:val="18"/>
              </w:rPr>
              <w:t>manageriale</w:t>
            </w:r>
            <w:proofErr w:type="gramEnd"/>
            <w:r w:rsidRPr="00F25DDA">
              <w:rPr>
                <w:rFonts w:ascii="Arial" w:hAnsi="Arial" w:cs="Arial"/>
                <w:b w:val="0"/>
                <w:sz w:val="18"/>
                <w:szCs w:val="18"/>
              </w:rPr>
              <w:t>.</w:t>
            </w:r>
          </w:p>
        </w:tc>
      </w:tr>
      <w:tr w:rsidR="00AA0E8B" w:rsidRPr="00A04413" w14:paraId="35EFF4EC" w14:textId="77777777" w:rsidTr="00A90A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1DDA6AC" w14:textId="77777777" w:rsidR="00AA0E8B" w:rsidRPr="0039494B" w:rsidRDefault="00AA0E8B" w:rsidP="00A90A48">
            <w:pPr>
              <w:pStyle w:val="NormaleWeb"/>
              <w:spacing w:before="0" w:beforeAutospacing="0" w:after="0" w:afterAutospacing="0"/>
              <w:jc w:val="both"/>
              <w:rPr>
                <w:rFonts w:ascii="Arial" w:hAnsi="Arial" w:cs="Arial"/>
                <w:i/>
                <w:sz w:val="18"/>
                <w:szCs w:val="18"/>
              </w:rPr>
            </w:pPr>
            <w:proofErr w:type="spellStart"/>
            <w:r w:rsidRPr="0039494B">
              <w:rPr>
                <w:rFonts w:ascii="Arial" w:hAnsi="Arial" w:cs="Arial"/>
                <w:i/>
                <w:color w:val="231F20"/>
                <w:sz w:val="18"/>
                <w:szCs w:val="18"/>
                <w:lang w:val="en-GB"/>
              </w:rPr>
              <w:t>Europass</w:t>
            </w:r>
            <w:proofErr w:type="spellEnd"/>
          </w:p>
        </w:tc>
        <w:tc>
          <w:tcPr>
            <w:cnfStyle w:val="000100000000" w:firstRow="0" w:lastRow="0" w:firstColumn="0" w:lastColumn="1" w:oddVBand="0" w:evenVBand="0" w:oddHBand="0" w:evenHBand="0" w:firstRowFirstColumn="0" w:firstRowLastColumn="0" w:lastRowFirstColumn="0" w:lastRowLastColumn="0"/>
            <w:tcW w:w="4889" w:type="dxa"/>
          </w:tcPr>
          <w:p w14:paraId="7F4FDD76" w14:textId="77777777" w:rsidR="00AA0E8B" w:rsidRPr="00F25DDA" w:rsidRDefault="00AA0E8B" w:rsidP="00A90A48">
            <w:pPr>
              <w:pStyle w:val="NormaleWeb"/>
              <w:spacing w:before="0" w:beforeAutospacing="0" w:after="0" w:afterAutospacing="0"/>
              <w:jc w:val="both"/>
              <w:rPr>
                <w:rFonts w:ascii="Arial" w:hAnsi="Arial" w:cs="Arial"/>
                <w:b w:val="0"/>
                <w:sz w:val="18"/>
                <w:szCs w:val="18"/>
              </w:rPr>
            </w:pPr>
            <w:proofErr w:type="gramStart"/>
            <w:r w:rsidRPr="00F25DDA">
              <w:rPr>
                <w:rFonts w:ascii="Arial" w:hAnsi="Arial" w:cs="Arial"/>
                <w:b w:val="0"/>
                <w:sz w:val="18"/>
                <w:szCs w:val="18"/>
              </w:rPr>
              <w:t>Un pacchetto di documenti a supporto della trasparenza delle competenze acquisite e della formazione svolta, cercando di utilizzare un forma</w:t>
            </w:r>
            <w:proofErr w:type="gramEnd"/>
            <w:r w:rsidRPr="00F25DDA">
              <w:rPr>
                <w:rFonts w:ascii="Arial" w:hAnsi="Arial" w:cs="Arial"/>
                <w:b w:val="0"/>
                <w:sz w:val="18"/>
                <w:szCs w:val="18"/>
              </w:rPr>
              <w:t>to standard per tutti i cittadini europei. Consiste nel CV europeo, nel passaporto delle lingue, nel documento di mobilità europea, nei supplementi di diplomi e certificati.</w:t>
            </w:r>
          </w:p>
        </w:tc>
      </w:tr>
    </w:tbl>
    <w:p w14:paraId="5193E1B7" w14:textId="77777777" w:rsidR="00AA0E8B" w:rsidRDefault="00AA0E8B" w:rsidP="00AA0E8B">
      <w:pPr>
        <w:autoSpaceDE w:val="0"/>
        <w:autoSpaceDN w:val="0"/>
        <w:adjustRightInd w:val="0"/>
        <w:rPr>
          <w:rFonts w:ascii="HelveticaNeueLTCom-BdCn" w:hAnsi="HelveticaNeueLTCom-BdCn" w:cs="HelveticaNeueLTCom-BdCn"/>
          <w:color w:val="0085B6"/>
          <w:sz w:val="20"/>
          <w:szCs w:val="20"/>
        </w:rPr>
      </w:pPr>
    </w:p>
    <w:p w14:paraId="31471D78" w14:textId="77777777" w:rsidR="00AA0E8B" w:rsidRDefault="00AA0E8B" w:rsidP="00AA0E8B">
      <w:pPr>
        <w:autoSpaceDE w:val="0"/>
        <w:autoSpaceDN w:val="0"/>
        <w:adjustRightInd w:val="0"/>
        <w:rPr>
          <w:rFonts w:ascii="HelveticaNeueLTCom-BdCn" w:hAnsi="HelveticaNeueLTCom-BdCn" w:cs="HelveticaNeueLTCom-BdCn"/>
          <w:color w:val="0085B6"/>
          <w:sz w:val="20"/>
          <w:szCs w:val="20"/>
        </w:rPr>
      </w:pPr>
    </w:p>
    <w:p w14:paraId="10426554" w14:textId="77777777" w:rsidR="00AA0E8B" w:rsidRDefault="00AA0E8B" w:rsidP="00AA0E8B">
      <w:pPr>
        <w:autoSpaceDE w:val="0"/>
        <w:autoSpaceDN w:val="0"/>
        <w:adjustRightInd w:val="0"/>
        <w:rPr>
          <w:rFonts w:ascii="HelveticaNeueLTCom-BdCn" w:hAnsi="HelveticaNeueLTCom-BdCn" w:cs="HelveticaNeueLTCom-BdCn"/>
          <w:color w:val="0085B6"/>
          <w:sz w:val="20"/>
          <w:szCs w:val="20"/>
        </w:rPr>
      </w:pPr>
    </w:p>
    <w:p w14:paraId="5E360E19" w14:textId="77777777" w:rsidR="00AA0E8B" w:rsidRDefault="00AA0E8B" w:rsidP="00AA0E8B">
      <w:pPr>
        <w:autoSpaceDE w:val="0"/>
        <w:autoSpaceDN w:val="0"/>
        <w:adjustRightInd w:val="0"/>
        <w:rPr>
          <w:rFonts w:ascii="HelveticaNeueLTCom-BdCn" w:hAnsi="HelveticaNeueLTCom-BdCn" w:cs="HelveticaNeueLTCom-BdCn"/>
          <w:color w:val="0085B6"/>
          <w:sz w:val="20"/>
          <w:szCs w:val="20"/>
        </w:rPr>
      </w:pPr>
    </w:p>
    <w:p w14:paraId="5AC7B2F7" w14:textId="77777777" w:rsidR="00AA0E8B" w:rsidRPr="006739B5" w:rsidRDefault="00AA0E8B" w:rsidP="00AA0E8B">
      <w:pPr>
        <w:autoSpaceDE w:val="0"/>
        <w:autoSpaceDN w:val="0"/>
        <w:adjustRightInd w:val="0"/>
        <w:rPr>
          <w:rFonts w:ascii="HelveticaNeueLTCom-BdCn" w:hAnsi="HelveticaNeueLTCom-BdCn" w:cs="HelveticaNeueLTCom-BdCn"/>
          <w:color w:val="0085B6"/>
          <w:sz w:val="20"/>
          <w:szCs w:val="20"/>
        </w:rPr>
      </w:pPr>
    </w:p>
    <w:p w14:paraId="3A299E6C" w14:textId="77777777" w:rsidR="00AA0E8B" w:rsidRDefault="00AA0E8B" w:rsidP="00AA0E8B">
      <w:pPr>
        <w:autoSpaceDE w:val="0"/>
        <w:autoSpaceDN w:val="0"/>
        <w:adjustRightInd w:val="0"/>
        <w:rPr>
          <w:rFonts w:ascii="Arial" w:hAnsi="Arial" w:cs="Arial"/>
          <w:b/>
          <w:sz w:val="20"/>
          <w:szCs w:val="20"/>
        </w:rPr>
      </w:pPr>
      <w:proofErr w:type="spellStart"/>
      <w:r w:rsidRPr="0039494B">
        <w:rPr>
          <w:rFonts w:ascii="Arial" w:hAnsi="Arial" w:cs="Arial"/>
          <w:b/>
          <w:sz w:val="20"/>
          <w:szCs w:val="20"/>
        </w:rPr>
        <w:t>Tab</w:t>
      </w:r>
      <w:proofErr w:type="spellEnd"/>
      <w:r w:rsidRPr="0039494B">
        <w:rPr>
          <w:rFonts w:ascii="Arial" w:hAnsi="Arial" w:cs="Arial"/>
          <w:b/>
          <w:sz w:val="20"/>
          <w:szCs w:val="20"/>
        </w:rPr>
        <w:t>. n. 2 - Principi comuni e linee guida</w:t>
      </w:r>
    </w:p>
    <w:p w14:paraId="69AF7644" w14:textId="77777777" w:rsidR="00AA0E8B" w:rsidRPr="0039494B" w:rsidRDefault="00AA0E8B" w:rsidP="00AA0E8B">
      <w:pPr>
        <w:autoSpaceDE w:val="0"/>
        <w:autoSpaceDN w:val="0"/>
        <w:adjustRightInd w:val="0"/>
        <w:rPr>
          <w:rFonts w:ascii="Arial" w:hAnsi="Arial" w:cs="Arial"/>
          <w:b/>
          <w:sz w:val="20"/>
          <w:szCs w:val="20"/>
        </w:rPr>
      </w:pPr>
    </w:p>
    <w:tbl>
      <w:tblPr>
        <w:tblStyle w:val="Sfondochiaro-Colore1"/>
        <w:tblW w:w="0" w:type="auto"/>
        <w:tblLook w:val="01E0" w:firstRow="1" w:lastRow="1" w:firstColumn="1" w:lastColumn="1" w:noHBand="0" w:noVBand="0"/>
      </w:tblPr>
      <w:tblGrid>
        <w:gridCol w:w="4889"/>
        <w:gridCol w:w="4889"/>
      </w:tblGrid>
      <w:tr w:rsidR="00AA0E8B" w:rsidRPr="00A04413" w14:paraId="22A85270" w14:textId="77777777" w:rsidTr="00A90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0B58F12A" w14:textId="77777777" w:rsidR="00AA0E8B" w:rsidRPr="00F25DDA" w:rsidRDefault="00AA0E8B" w:rsidP="00A90A48">
            <w:pPr>
              <w:autoSpaceDE w:val="0"/>
              <w:autoSpaceDN w:val="0"/>
              <w:adjustRightInd w:val="0"/>
              <w:jc w:val="both"/>
              <w:rPr>
                <w:rFonts w:ascii="Arial" w:hAnsi="Arial" w:cs="Arial"/>
                <w:color w:val="auto"/>
                <w:sz w:val="18"/>
                <w:szCs w:val="18"/>
              </w:rPr>
            </w:pPr>
            <w:r w:rsidRPr="00F25DDA">
              <w:rPr>
                <w:rFonts w:ascii="Arial" w:hAnsi="Arial" w:cs="Arial"/>
                <w:color w:val="auto"/>
                <w:sz w:val="18"/>
                <w:szCs w:val="18"/>
              </w:rPr>
              <w:t>Guida e suggerimenti</w:t>
            </w:r>
          </w:p>
        </w:tc>
        <w:tc>
          <w:tcPr>
            <w:cnfStyle w:val="000100000000" w:firstRow="0" w:lastRow="0" w:firstColumn="0" w:lastColumn="1" w:oddVBand="0" w:evenVBand="0" w:oddHBand="0" w:evenHBand="0" w:firstRowFirstColumn="0" w:firstRowLastColumn="0" w:lastRowFirstColumn="0" w:lastRowLastColumn="0"/>
            <w:tcW w:w="4889" w:type="dxa"/>
          </w:tcPr>
          <w:p w14:paraId="6E287F4B" w14:textId="77777777" w:rsidR="00AA0E8B" w:rsidRPr="00F25DDA" w:rsidRDefault="00AA0E8B" w:rsidP="00A90A48">
            <w:pPr>
              <w:autoSpaceDE w:val="0"/>
              <w:autoSpaceDN w:val="0"/>
              <w:adjustRightInd w:val="0"/>
              <w:jc w:val="both"/>
              <w:rPr>
                <w:rFonts w:ascii="Arial" w:hAnsi="Arial" w:cs="Arial"/>
                <w:b w:val="0"/>
                <w:sz w:val="18"/>
                <w:szCs w:val="18"/>
              </w:rPr>
            </w:pPr>
            <w:r w:rsidRPr="00F25DDA">
              <w:rPr>
                <w:rFonts w:ascii="Arial" w:hAnsi="Arial" w:cs="Arial"/>
                <w:b w:val="0"/>
                <w:sz w:val="18"/>
                <w:szCs w:val="18"/>
              </w:rPr>
              <w:t xml:space="preserve">Rafforzare il sostegno allo sviluppo delle politiche europee per l’istruzione, la formazione </w:t>
            </w:r>
            <w:proofErr w:type="gramStart"/>
            <w:r w:rsidRPr="00F25DDA">
              <w:rPr>
                <w:rFonts w:ascii="Arial" w:hAnsi="Arial" w:cs="Arial"/>
                <w:b w:val="0"/>
                <w:sz w:val="18"/>
                <w:szCs w:val="18"/>
              </w:rPr>
              <w:t>ed</w:t>
            </w:r>
            <w:proofErr w:type="gramEnd"/>
            <w:r w:rsidRPr="00F25DDA">
              <w:rPr>
                <w:rFonts w:ascii="Arial" w:hAnsi="Arial" w:cs="Arial"/>
                <w:b w:val="0"/>
                <w:sz w:val="18"/>
                <w:szCs w:val="18"/>
              </w:rPr>
              <w:t xml:space="preserve"> l’occupazione. E’ rivolto a quattro settori prioritari: 1. abilità nei percorsi di carriera, 2. accesso ai servizi, 3. qualità di sistemi di misurazione </w:t>
            </w:r>
            <w:proofErr w:type="gramStart"/>
            <w:r w:rsidRPr="00F25DDA">
              <w:rPr>
                <w:rFonts w:ascii="Arial" w:hAnsi="Arial" w:cs="Arial"/>
                <w:b w:val="0"/>
                <w:sz w:val="18"/>
                <w:szCs w:val="18"/>
              </w:rPr>
              <w:t>delle</w:t>
            </w:r>
            <w:proofErr w:type="gramEnd"/>
            <w:r w:rsidRPr="00F25DDA">
              <w:rPr>
                <w:rFonts w:ascii="Arial" w:hAnsi="Arial" w:cs="Arial"/>
                <w:b w:val="0"/>
                <w:sz w:val="18"/>
                <w:szCs w:val="18"/>
              </w:rPr>
              <w:t xml:space="preserve"> performance e 4. cooperazione.</w:t>
            </w:r>
          </w:p>
        </w:tc>
      </w:tr>
      <w:tr w:rsidR="00AA0E8B" w:rsidRPr="00A04413" w14:paraId="08DB5FEF" w14:textId="77777777" w:rsidTr="00A90A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2E6F65A2" w14:textId="77777777" w:rsidR="00AA0E8B" w:rsidRPr="00F25DDA" w:rsidRDefault="00AA0E8B" w:rsidP="00A90A48">
            <w:pPr>
              <w:autoSpaceDE w:val="0"/>
              <w:autoSpaceDN w:val="0"/>
              <w:adjustRightInd w:val="0"/>
              <w:jc w:val="both"/>
              <w:rPr>
                <w:rFonts w:ascii="Arial" w:hAnsi="Arial" w:cs="Arial"/>
                <w:color w:val="auto"/>
                <w:sz w:val="18"/>
                <w:szCs w:val="18"/>
              </w:rPr>
            </w:pPr>
            <w:r w:rsidRPr="00F25DDA">
              <w:rPr>
                <w:rFonts w:ascii="Arial" w:hAnsi="Arial" w:cs="Arial"/>
                <w:color w:val="auto"/>
                <w:sz w:val="18"/>
                <w:szCs w:val="18"/>
              </w:rPr>
              <w:t>Identificazione e validazione dell’apprendimento formale e non-formale.</w:t>
            </w:r>
          </w:p>
        </w:tc>
        <w:tc>
          <w:tcPr>
            <w:cnfStyle w:val="000100000000" w:firstRow="0" w:lastRow="0" w:firstColumn="0" w:lastColumn="1" w:oddVBand="0" w:evenVBand="0" w:oddHBand="0" w:evenHBand="0" w:firstRowFirstColumn="0" w:firstRowLastColumn="0" w:lastRowFirstColumn="0" w:lastRowLastColumn="0"/>
            <w:tcW w:w="4889" w:type="dxa"/>
          </w:tcPr>
          <w:p w14:paraId="029AD49E" w14:textId="77777777" w:rsidR="00AA0E8B" w:rsidRPr="00F25DDA" w:rsidRDefault="00AA0E8B" w:rsidP="00A90A48">
            <w:pPr>
              <w:autoSpaceDE w:val="0"/>
              <w:autoSpaceDN w:val="0"/>
              <w:adjustRightInd w:val="0"/>
              <w:jc w:val="both"/>
              <w:rPr>
                <w:rFonts w:ascii="Arial" w:hAnsi="Arial" w:cs="Arial"/>
                <w:b w:val="0"/>
                <w:sz w:val="18"/>
                <w:szCs w:val="18"/>
              </w:rPr>
            </w:pPr>
            <w:r w:rsidRPr="00F25DDA">
              <w:rPr>
                <w:rFonts w:ascii="Arial" w:hAnsi="Arial" w:cs="Arial"/>
                <w:b w:val="0"/>
                <w:sz w:val="18"/>
                <w:szCs w:val="18"/>
              </w:rPr>
              <w:t xml:space="preserve">Stabilire i principi comuni per incoraggiare e guidare lo sviluppo della qualità elevata, evidenziare metodi e sistemi per identificare e validare l’apprendimento non-formale </w:t>
            </w:r>
            <w:proofErr w:type="gramStart"/>
            <w:r w:rsidRPr="00F25DDA">
              <w:rPr>
                <w:rFonts w:ascii="Arial" w:hAnsi="Arial" w:cs="Arial"/>
                <w:b w:val="0"/>
                <w:sz w:val="18"/>
                <w:szCs w:val="18"/>
              </w:rPr>
              <w:t>ed</w:t>
            </w:r>
            <w:proofErr w:type="gramEnd"/>
            <w:r w:rsidRPr="00F25DDA">
              <w:rPr>
                <w:rFonts w:ascii="Arial" w:hAnsi="Arial" w:cs="Arial"/>
                <w:b w:val="0"/>
                <w:sz w:val="18"/>
                <w:szCs w:val="18"/>
              </w:rPr>
              <w:t xml:space="preserve"> informale. </w:t>
            </w:r>
          </w:p>
        </w:tc>
      </w:tr>
    </w:tbl>
    <w:p w14:paraId="62FBFF95" w14:textId="77777777" w:rsidR="00AA0E8B" w:rsidRDefault="00AA0E8B" w:rsidP="00AA0E8B"/>
    <w:p w14:paraId="7888EAF5"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Nonostante ciò, il processo di </w:t>
      </w:r>
      <w:proofErr w:type="spellStart"/>
      <w:r w:rsidRPr="00DB146D">
        <w:rPr>
          <w:sz w:val="22"/>
          <w:szCs w:val="22"/>
        </w:rPr>
        <w:t>Copenhagen</w:t>
      </w:r>
      <w:proofErr w:type="spellEnd"/>
      <w:r w:rsidRPr="00DB146D">
        <w:rPr>
          <w:sz w:val="22"/>
          <w:szCs w:val="22"/>
        </w:rPr>
        <w:t xml:space="preserve"> ha avuto un impatto limitato nelle </w:t>
      </w:r>
      <w:r w:rsidRPr="0039494B">
        <w:rPr>
          <w:i/>
          <w:sz w:val="22"/>
          <w:szCs w:val="22"/>
        </w:rPr>
        <w:t>performance</w:t>
      </w:r>
      <w:r w:rsidRPr="00DB146D">
        <w:rPr>
          <w:sz w:val="22"/>
          <w:szCs w:val="22"/>
        </w:rPr>
        <w:t xml:space="preserve"> dei sistemi di educazione e formazione così come misurati dagli indici di riferimento della strategia </w:t>
      </w:r>
      <w:proofErr w:type="gramStart"/>
      <w:r w:rsidRPr="00DB146D">
        <w:rPr>
          <w:sz w:val="22"/>
          <w:szCs w:val="22"/>
        </w:rPr>
        <w:t>di</w:t>
      </w:r>
      <w:proofErr w:type="gramEnd"/>
      <w:r w:rsidRPr="00DB146D">
        <w:rPr>
          <w:sz w:val="22"/>
          <w:szCs w:val="22"/>
        </w:rPr>
        <w:t xml:space="preserve"> Lisbona (vedi tabella </w:t>
      </w:r>
      <w:r>
        <w:rPr>
          <w:sz w:val="22"/>
          <w:szCs w:val="22"/>
        </w:rPr>
        <w:t>n.3</w:t>
      </w:r>
      <w:r w:rsidRPr="00DB146D">
        <w:rPr>
          <w:sz w:val="22"/>
          <w:szCs w:val="22"/>
        </w:rPr>
        <w:t xml:space="preserve">). Molti degli obiettivi evidenziati non sono stati raggiunti. La crisi economica ha certamente rallentato questi processi, ma </w:t>
      </w:r>
      <w:proofErr w:type="gramStart"/>
      <w:r w:rsidRPr="00DB146D">
        <w:rPr>
          <w:sz w:val="22"/>
          <w:szCs w:val="22"/>
        </w:rPr>
        <w:t>questo</w:t>
      </w:r>
      <w:proofErr w:type="gramEnd"/>
      <w:r w:rsidRPr="00DB146D">
        <w:rPr>
          <w:sz w:val="22"/>
          <w:szCs w:val="22"/>
        </w:rPr>
        <w:t xml:space="preserve"> andamento si registrava anche nella fase di pre-crisi.</w:t>
      </w:r>
    </w:p>
    <w:p w14:paraId="37AAA2E1" w14:textId="77777777" w:rsidR="00AA0E8B" w:rsidRDefault="00AA0E8B" w:rsidP="00AA0E8B">
      <w:pPr>
        <w:jc w:val="both"/>
      </w:pPr>
    </w:p>
    <w:p w14:paraId="28375E8B" w14:textId="77777777" w:rsidR="00AA0E8B" w:rsidRDefault="00AA0E8B" w:rsidP="00AA0E8B">
      <w:pPr>
        <w:jc w:val="both"/>
      </w:pPr>
    </w:p>
    <w:p w14:paraId="6F32B4F0" w14:textId="77777777" w:rsidR="00AA0E8B" w:rsidRDefault="00AA0E8B" w:rsidP="00AA0E8B">
      <w:pPr>
        <w:jc w:val="both"/>
      </w:pPr>
    </w:p>
    <w:p w14:paraId="07544F1B" w14:textId="77777777" w:rsidR="00AA0E8B" w:rsidRDefault="00AA0E8B" w:rsidP="00AA0E8B">
      <w:pPr>
        <w:jc w:val="both"/>
      </w:pPr>
    </w:p>
    <w:p w14:paraId="486B7249" w14:textId="77777777" w:rsidR="00AA0E8B" w:rsidRDefault="00AA0E8B" w:rsidP="00AA0E8B">
      <w:pPr>
        <w:jc w:val="both"/>
      </w:pPr>
    </w:p>
    <w:p w14:paraId="5D0C2C31" w14:textId="77777777" w:rsidR="00AA0E8B" w:rsidRDefault="00AA0E8B" w:rsidP="00AA0E8B">
      <w:pPr>
        <w:jc w:val="both"/>
      </w:pPr>
    </w:p>
    <w:p w14:paraId="37082D31" w14:textId="77777777" w:rsidR="00AA0E8B" w:rsidRDefault="00AA0E8B" w:rsidP="00AA0E8B">
      <w:pPr>
        <w:jc w:val="both"/>
      </w:pPr>
    </w:p>
    <w:p w14:paraId="4FBA7F06" w14:textId="77777777" w:rsidR="00AA0E8B" w:rsidRDefault="00AA0E8B" w:rsidP="00AA0E8B">
      <w:pPr>
        <w:jc w:val="both"/>
      </w:pPr>
    </w:p>
    <w:p w14:paraId="40A7FB4C" w14:textId="77777777" w:rsidR="00AA0E8B" w:rsidRDefault="00AA0E8B" w:rsidP="00AA0E8B">
      <w:pPr>
        <w:jc w:val="both"/>
      </w:pPr>
    </w:p>
    <w:p w14:paraId="07605E97" w14:textId="77777777" w:rsidR="00AA0E8B" w:rsidRDefault="00AA0E8B" w:rsidP="00AA0E8B">
      <w:pPr>
        <w:jc w:val="both"/>
      </w:pPr>
    </w:p>
    <w:p w14:paraId="17198161" w14:textId="77777777" w:rsidR="00A565BB" w:rsidRDefault="00A565BB" w:rsidP="00AA0E8B">
      <w:pPr>
        <w:jc w:val="both"/>
      </w:pPr>
    </w:p>
    <w:p w14:paraId="48851465" w14:textId="77777777" w:rsidR="00A565BB" w:rsidRDefault="00A565BB" w:rsidP="00AA0E8B">
      <w:pPr>
        <w:jc w:val="both"/>
      </w:pPr>
    </w:p>
    <w:p w14:paraId="346C3C56" w14:textId="77777777" w:rsidR="00A565BB" w:rsidRDefault="00A565BB" w:rsidP="00AA0E8B">
      <w:pPr>
        <w:jc w:val="both"/>
      </w:pPr>
    </w:p>
    <w:p w14:paraId="37537A52" w14:textId="77777777" w:rsidR="00A565BB" w:rsidRDefault="00A565BB" w:rsidP="00AA0E8B">
      <w:pPr>
        <w:jc w:val="both"/>
      </w:pPr>
      <w:bookmarkStart w:id="0" w:name="_GoBack"/>
      <w:bookmarkEnd w:id="0"/>
    </w:p>
    <w:p w14:paraId="188875C8" w14:textId="77777777" w:rsidR="00AA0E8B" w:rsidRDefault="00AA0E8B" w:rsidP="00AA0E8B">
      <w:pPr>
        <w:jc w:val="both"/>
      </w:pPr>
    </w:p>
    <w:p w14:paraId="461B32E7" w14:textId="77777777" w:rsidR="00AA0E8B" w:rsidRDefault="00AA0E8B" w:rsidP="00AA0E8B">
      <w:pPr>
        <w:jc w:val="both"/>
      </w:pPr>
    </w:p>
    <w:p w14:paraId="1C7C9911" w14:textId="77777777" w:rsidR="00AA0E8B" w:rsidRPr="0039494B" w:rsidRDefault="00AA0E8B" w:rsidP="00AA0E8B">
      <w:pPr>
        <w:jc w:val="both"/>
        <w:rPr>
          <w:rFonts w:ascii="Arial" w:hAnsi="Arial" w:cs="Arial"/>
          <w:b/>
          <w:sz w:val="20"/>
          <w:szCs w:val="20"/>
        </w:rPr>
      </w:pPr>
      <w:proofErr w:type="spellStart"/>
      <w:r w:rsidRPr="0039494B">
        <w:rPr>
          <w:rFonts w:ascii="Arial" w:hAnsi="Arial" w:cs="Arial"/>
          <w:b/>
          <w:sz w:val="20"/>
          <w:szCs w:val="20"/>
        </w:rPr>
        <w:t>Tab</w:t>
      </w:r>
      <w:proofErr w:type="spellEnd"/>
      <w:r w:rsidRPr="0039494B">
        <w:rPr>
          <w:rFonts w:ascii="Arial" w:hAnsi="Arial" w:cs="Arial"/>
          <w:b/>
          <w:sz w:val="20"/>
          <w:szCs w:val="20"/>
        </w:rPr>
        <w:t xml:space="preserve">. n. 3 - Obiettivi </w:t>
      </w:r>
      <w:proofErr w:type="gramStart"/>
      <w:r w:rsidRPr="0039494B">
        <w:rPr>
          <w:rFonts w:ascii="Arial" w:hAnsi="Arial" w:cs="Arial"/>
          <w:b/>
          <w:sz w:val="20"/>
          <w:szCs w:val="20"/>
        </w:rPr>
        <w:t>relativi all’</w:t>
      </w:r>
      <w:proofErr w:type="gramEnd"/>
      <w:r w:rsidRPr="0039494B">
        <w:rPr>
          <w:rFonts w:ascii="Arial" w:hAnsi="Arial" w:cs="Arial"/>
          <w:b/>
          <w:sz w:val="20"/>
          <w:szCs w:val="20"/>
        </w:rPr>
        <w:t>educazione e alla formazione 2010</w:t>
      </w:r>
    </w:p>
    <w:p w14:paraId="7308F026" w14:textId="77777777" w:rsidR="00AA0E8B" w:rsidRPr="00AF446C" w:rsidRDefault="00AA0E8B" w:rsidP="00AA0E8B">
      <w:pPr>
        <w:jc w:val="both"/>
        <w:rPr>
          <w:rFonts w:ascii="Arial" w:hAnsi="Arial" w:cs="Arial"/>
          <w:b/>
          <w:sz w:val="18"/>
          <w:szCs w:val="18"/>
        </w:rPr>
      </w:pPr>
    </w:p>
    <w:tbl>
      <w:tblPr>
        <w:tblStyle w:val="Sfondochiaro-Colore1"/>
        <w:tblW w:w="0" w:type="auto"/>
        <w:tblLook w:val="01E0" w:firstRow="1" w:lastRow="1" w:firstColumn="1" w:lastColumn="1" w:noHBand="0" w:noVBand="0"/>
      </w:tblPr>
      <w:tblGrid>
        <w:gridCol w:w="4889"/>
        <w:gridCol w:w="4889"/>
      </w:tblGrid>
      <w:tr w:rsidR="00AA0E8B" w:rsidRPr="00F25DDA" w14:paraId="1754465A" w14:textId="77777777" w:rsidTr="00A90A4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38F1CCE1" w14:textId="77777777" w:rsidR="00AA0E8B" w:rsidRPr="00F25DDA" w:rsidRDefault="00AA0E8B" w:rsidP="00A90A48">
            <w:pPr>
              <w:jc w:val="both"/>
              <w:rPr>
                <w:rFonts w:ascii="Arial" w:hAnsi="Arial" w:cs="Arial"/>
                <w:color w:val="auto"/>
                <w:sz w:val="18"/>
                <w:szCs w:val="18"/>
              </w:rPr>
            </w:pPr>
            <w:r w:rsidRPr="00F25DDA">
              <w:rPr>
                <w:rFonts w:ascii="Arial" w:hAnsi="Arial" w:cs="Arial"/>
                <w:color w:val="auto"/>
                <w:sz w:val="18"/>
                <w:szCs w:val="18"/>
              </w:rPr>
              <w:t xml:space="preserve">Benchmark per il 2010 </w:t>
            </w:r>
          </w:p>
        </w:tc>
        <w:tc>
          <w:tcPr>
            <w:cnfStyle w:val="000100000000" w:firstRow="0" w:lastRow="0" w:firstColumn="0" w:lastColumn="1" w:oddVBand="0" w:evenVBand="0" w:oddHBand="0" w:evenHBand="0" w:firstRowFirstColumn="0" w:firstRowLastColumn="0" w:lastRowFirstColumn="0" w:lastRowLastColumn="0"/>
            <w:tcW w:w="4889" w:type="dxa"/>
          </w:tcPr>
          <w:p w14:paraId="2F4D9CF2" w14:textId="77777777" w:rsidR="00AA0E8B" w:rsidRPr="00F25DDA" w:rsidRDefault="00AA0E8B" w:rsidP="00A90A48">
            <w:pPr>
              <w:jc w:val="both"/>
              <w:rPr>
                <w:rFonts w:ascii="Arial" w:hAnsi="Arial" w:cs="Arial"/>
                <w:b w:val="0"/>
                <w:sz w:val="18"/>
                <w:szCs w:val="18"/>
              </w:rPr>
            </w:pPr>
            <w:r w:rsidRPr="00F25DDA">
              <w:rPr>
                <w:rFonts w:ascii="Arial" w:hAnsi="Arial" w:cs="Arial"/>
                <w:b w:val="0"/>
                <w:sz w:val="18"/>
                <w:szCs w:val="18"/>
              </w:rPr>
              <w:t>Stato dell’arte 2010 (riferito all’anno 2009</w:t>
            </w:r>
            <w:proofErr w:type="gramStart"/>
            <w:r w:rsidRPr="00F25DDA">
              <w:rPr>
                <w:rFonts w:ascii="Arial" w:hAnsi="Arial" w:cs="Arial"/>
                <w:b w:val="0"/>
                <w:sz w:val="18"/>
                <w:szCs w:val="18"/>
              </w:rPr>
              <w:t>)</w:t>
            </w:r>
            <w:proofErr w:type="gramEnd"/>
          </w:p>
          <w:p w14:paraId="4F8AB526" w14:textId="77777777" w:rsidR="00AA0E8B" w:rsidRPr="00F25DDA" w:rsidRDefault="00AA0E8B" w:rsidP="00A90A48">
            <w:pPr>
              <w:jc w:val="both"/>
              <w:rPr>
                <w:rFonts w:ascii="Arial" w:hAnsi="Arial" w:cs="Arial"/>
                <w:b w:val="0"/>
                <w:sz w:val="18"/>
                <w:szCs w:val="18"/>
              </w:rPr>
            </w:pPr>
            <w:r w:rsidRPr="00F25DDA">
              <w:rPr>
                <w:rFonts w:ascii="Arial" w:hAnsi="Arial" w:cs="Arial"/>
                <w:b w:val="0"/>
                <w:sz w:val="18"/>
                <w:szCs w:val="18"/>
              </w:rPr>
              <w:t>Media europea</w:t>
            </w:r>
          </w:p>
        </w:tc>
      </w:tr>
      <w:tr w:rsidR="00AA0E8B" w:rsidRPr="00F25DDA" w14:paraId="79A851CA" w14:textId="77777777" w:rsidTr="00A90A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171BB27B" w14:textId="77777777" w:rsidR="00AA0E8B" w:rsidRPr="00F25DDA" w:rsidRDefault="00AA0E8B" w:rsidP="00A90A48">
            <w:pPr>
              <w:jc w:val="both"/>
              <w:rPr>
                <w:rFonts w:ascii="Arial" w:hAnsi="Arial" w:cs="Arial"/>
                <w:color w:val="auto"/>
                <w:sz w:val="18"/>
                <w:szCs w:val="18"/>
              </w:rPr>
            </w:pPr>
            <w:r w:rsidRPr="00F25DDA">
              <w:rPr>
                <w:rFonts w:ascii="Arial" w:hAnsi="Arial" w:cs="Arial"/>
                <w:color w:val="auto"/>
                <w:sz w:val="18"/>
                <w:szCs w:val="18"/>
              </w:rPr>
              <w:t xml:space="preserve">Raggiungere la media del tasso di occupazione il più </w:t>
            </w:r>
            <w:proofErr w:type="gramStart"/>
            <w:r w:rsidRPr="00F25DDA">
              <w:rPr>
                <w:rFonts w:ascii="Arial" w:hAnsi="Arial" w:cs="Arial"/>
                <w:color w:val="auto"/>
                <w:sz w:val="18"/>
                <w:szCs w:val="18"/>
              </w:rPr>
              <w:t>vicino</w:t>
            </w:r>
            <w:proofErr w:type="gramEnd"/>
            <w:r w:rsidRPr="00F25DDA">
              <w:rPr>
                <w:rFonts w:ascii="Arial" w:hAnsi="Arial" w:cs="Arial"/>
                <w:color w:val="auto"/>
                <w:sz w:val="18"/>
                <w:szCs w:val="18"/>
              </w:rPr>
              <w:t xml:space="preserve"> possibile al 70%.</w:t>
            </w:r>
          </w:p>
        </w:tc>
        <w:tc>
          <w:tcPr>
            <w:cnfStyle w:val="000100000000" w:firstRow="0" w:lastRow="0" w:firstColumn="0" w:lastColumn="1" w:oddVBand="0" w:evenVBand="0" w:oddHBand="0" w:evenHBand="0" w:firstRowFirstColumn="0" w:firstRowLastColumn="0" w:lastRowFirstColumn="0" w:lastRowLastColumn="0"/>
            <w:tcW w:w="4889" w:type="dxa"/>
          </w:tcPr>
          <w:p w14:paraId="1C9ACC9D" w14:textId="77777777" w:rsidR="00AA0E8B" w:rsidRPr="00F25DDA" w:rsidRDefault="00AA0E8B" w:rsidP="00A90A48">
            <w:pPr>
              <w:jc w:val="right"/>
              <w:rPr>
                <w:rFonts w:ascii="Arial" w:hAnsi="Arial" w:cs="Arial"/>
                <w:b w:val="0"/>
                <w:sz w:val="18"/>
                <w:szCs w:val="18"/>
              </w:rPr>
            </w:pPr>
            <w:r w:rsidRPr="00F25DDA">
              <w:rPr>
                <w:rFonts w:ascii="Arial" w:hAnsi="Arial" w:cs="Arial"/>
                <w:b w:val="0"/>
                <w:sz w:val="18"/>
                <w:szCs w:val="18"/>
              </w:rPr>
              <w:t>64,6%</w:t>
            </w:r>
          </w:p>
        </w:tc>
      </w:tr>
      <w:tr w:rsidR="00AA0E8B" w:rsidRPr="00F25DDA" w14:paraId="5C416741" w14:textId="77777777" w:rsidTr="00A90A48">
        <w:tc>
          <w:tcPr>
            <w:cnfStyle w:val="001000000000" w:firstRow="0" w:lastRow="0" w:firstColumn="1" w:lastColumn="0" w:oddVBand="0" w:evenVBand="0" w:oddHBand="0" w:evenHBand="0" w:firstRowFirstColumn="0" w:firstRowLastColumn="0" w:lastRowFirstColumn="0" w:lastRowLastColumn="0"/>
            <w:tcW w:w="4889" w:type="dxa"/>
          </w:tcPr>
          <w:p w14:paraId="49569969" w14:textId="77777777" w:rsidR="00AA0E8B" w:rsidRPr="00F25DDA" w:rsidRDefault="00AA0E8B" w:rsidP="00A90A48">
            <w:pPr>
              <w:jc w:val="both"/>
              <w:rPr>
                <w:rFonts w:ascii="Arial" w:hAnsi="Arial" w:cs="Arial"/>
                <w:color w:val="auto"/>
                <w:sz w:val="18"/>
                <w:szCs w:val="18"/>
              </w:rPr>
            </w:pPr>
            <w:r w:rsidRPr="00F25DDA">
              <w:rPr>
                <w:rFonts w:ascii="Arial" w:hAnsi="Arial" w:cs="Arial"/>
                <w:color w:val="auto"/>
                <w:sz w:val="18"/>
                <w:szCs w:val="18"/>
              </w:rPr>
              <w:t>Aumentare l’occupazione femminile con una media europea oltre al 60%.</w:t>
            </w:r>
          </w:p>
        </w:tc>
        <w:tc>
          <w:tcPr>
            <w:cnfStyle w:val="000100000000" w:firstRow="0" w:lastRow="0" w:firstColumn="0" w:lastColumn="1" w:oddVBand="0" w:evenVBand="0" w:oddHBand="0" w:evenHBand="0" w:firstRowFirstColumn="0" w:firstRowLastColumn="0" w:lastRowFirstColumn="0" w:lastRowLastColumn="0"/>
            <w:tcW w:w="4889" w:type="dxa"/>
          </w:tcPr>
          <w:p w14:paraId="1A4821B2" w14:textId="77777777" w:rsidR="00AA0E8B" w:rsidRPr="00F25DDA" w:rsidRDefault="00AA0E8B" w:rsidP="00A90A48">
            <w:pPr>
              <w:jc w:val="right"/>
              <w:rPr>
                <w:rFonts w:ascii="Arial" w:hAnsi="Arial" w:cs="Arial"/>
                <w:b w:val="0"/>
                <w:sz w:val="18"/>
                <w:szCs w:val="18"/>
              </w:rPr>
            </w:pPr>
            <w:r w:rsidRPr="00F25DDA">
              <w:rPr>
                <w:rFonts w:ascii="Arial" w:hAnsi="Arial" w:cs="Arial"/>
                <w:b w:val="0"/>
                <w:sz w:val="18"/>
                <w:szCs w:val="18"/>
              </w:rPr>
              <w:t>58,6%</w:t>
            </w:r>
          </w:p>
        </w:tc>
      </w:tr>
      <w:tr w:rsidR="00AA0E8B" w:rsidRPr="00F25DDA" w14:paraId="662278AD" w14:textId="77777777" w:rsidTr="00A90A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54230E4A" w14:textId="77777777" w:rsidR="00AA0E8B" w:rsidRPr="00F25DDA" w:rsidRDefault="00AA0E8B" w:rsidP="00A90A48">
            <w:pPr>
              <w:jc w:val="both"/>
              <w:rPr>
                <w:rFonts w:ascii="Arial" w:hAnsi="Arial" w:cs="Arial"/>
                <w:color w:val="auto"/>
                <w:sz w:val="18"/>
                <w:szCs w:val="18"/>
              </w:rPr>
            </w:pPr>
            <w:r w:rsidRPr="00F25DDA">
              <w:rPr>
                <w:rFonts w:ascii="Arial" w:hAnsi="Arial" w:cs="Arial"/>
                <w:color w:val="auto"/>
                <w:sz w:val="18"/>
                <w:szCs w:val="18"/>
              </w:rPr>
              <w:t xml:space="preserve">Raggiungere il livello del tasso di occupazione di uomini e donne oltre i </w:t>
            </w:r>
            <w:proofErr w:type="gramStart"/>
            <w:r w:rsidRPr="00F25DDA">
              <w:rPr>
                <w:rFonts w:ascii="Arial" w:hAnsi="Arial" w:cs="Arial"/>
                <w:color w:val="auto"/>
                <w:sz w:val="18"/>
                <w:szCs w:val="18"/>
              </w:rPr>
              <w:t>55</w:t>
            </w:r>
            <w:proofErr w:type="gramEnd"/>
            <w:r w:rsidRPr="00F25DDA">
              <w:rPr>
                <w:rFonts w:ascii="Arial" w:hAnsi="Arial" w:cs="Arial"/>
                <w:color w:val="auto"/>
                <w:sz w:val="18"/>
                <w:szCs w:val="18"/>
              </w:rPr>
              <w:t xml:space="preserve"> anni d’età del 50%</w:t>
            </w:r>
          </w:p>
        </w:tc>
        <w:tc>
          <w:tcPr>
            <w:cnfStyle w:val="000100000000" w:firstRow="0" w:lastRow="0" w:firstColumn="0" w:lastColumn="1" w:oddVBand="0" w:evenVBand="0" w:oddHBand="0" w:evenHBand="0" w:firstRowFirstColumn="0" w:firstRowLastColumn="0" w:lastRowFirstColumn="0" w:lastRowLastColumn="0"/>
            <w:tcW w:w="4889" w:type="dxa"/>
          </w:tcPr>
          <w:p w14:paraId="5FE81961" w14:textId="77777777" w:rsidR="00AA0E8B" w:rsidRPr="00F25DDA" w:rsidRDefault="00AA0E8B" w:rsidP="00A90A48">
            <w:pPr>
              <w:jc w:val="right"/>
              <w:rPr>
                <w:rFonts w:ascii="Arial" w:hAnsi="Arial" w:cs="Arial"/>
                <w:b w:val="0"/>
                <w:sz w:val="18"/>
                <w:szCs w:val="18"/>
              </w:rPr>
            </w:pPr>
            <w:r w:rsidRPr="00F25DDA">
              <w:rPr>
                <w:rFonts w:ascii="Arial" w:hAnsi="Arial" w:cs="Arial"/>
                <w:b w:val="0"/>
                <w:sz w:val="18"/>
                <w:szCs w:val="18"/>
              </w:rPr>
              <w:t>46.0 %</w:t>
            </w:r>
          </w:p>
        </w:tc>
      </w:tr>
      <w:tr w:rsidR="00AA0E8B" w:rsidRPr="00F25DDA" w14:paraId="4587B59D" w14:textId="77777777" w:rsidTr="00A90A48">
        <w:tc>
          <w:tcPr>
            <w:cnfStyle w:val="001000000000" w:firstRow="0" w:lastRow="0" w:firstColumn="1" w:lastColumn="0" w:oddVBand="0" w:evenVBand="0" w:oddHBand="0" w:evenHBand="0" w:firstRowFirstColumn="0" w:firstRowLastColumn="0" w:lastRowFirstColumn="0" w:lastRowLastColumn="0"/>
            <w:tcW w:w="4889" w:type="dxa"/>
          </w:tcPr>
          <w:p w14:paraId="537C67E7" w14:textId="77777777" w:rsidR="00AA0E8B" w:rsidRPr="00F25DDA" w:rsidRDefault="00AA0E8B" w:rsidP="00A90A48">
            <w:pPr>
              <w:jc w:val="both"/>
              <w:rPr>
                <w:rFonts w:ascii="Arial" w:hAnsi="Arial" w:cs="Arial"/>
                <w:color w:val="auto"/>
                <w:sz w:val="18"/>
                <w:szCs w:val="18"/>
              </w:rPr>
            </w:pPr>
            <w:proofErr w:type="gramStart"/>
            <w:r w:rsidRPr="00F25DDA">
              <w:rPr>
                <w:rFonts w:ascii="Arial" w:hAnsi="Arial" w:cs="Arial"/>
                <w:color w:val="auto"/>
                <w:sz w:val="18"/>
                <w:szCs w:val="18"/>
              </w:rPr>
              <w:t>Raggiungere una media del tasso di abbandono scolastico europeo non oltre il 10%.</w:t>
            </w:r>
            <w:proofErr w:type="gramEnd"/>
          </w:p>
        </w:tc>
        <w:tc>
          <w:tcPr>
            <w:cnfStyle w:val="000100000000" w:firstRow="0" w:lastRow="0" w:firstColumn="0" w:lastColumn="1" w:oddVBand="0" w:evenVBand="0" w:oddHBand="0" w:evenHBand="0" w:firstRowFirstColumn="0" w:firstRowLastColumn="0" w:lastRowFirstColumn="0" w:lastRowLastColumn="0"/>
            <w:tcW w:w="4889" w:type="dxa"/>
          </w:tcPr>
          <w:p w14:paraId="66AAE7B3" w14:textId="77777777" w:rsidR="00AA0E8B" w:rsidRPr="00F25DDA" w:rsidRDefault="00AA0E8B" w:rsidP="00A90A48">
            <w:pPr>
              <w:jc w:val="right"/>
              <w:rPr>
                <w:rFonts w:ascii="Arial" w:hAnsi="Arial" w:cs="Arial"/>
                <w:b w:val="0"/>
                <w:sz w:val="18"/>
                <w:szCs w:val="18"/>
              </w:rPr>
            </w:pPr>
            <w:r w:rsidRPr="00F25DDA">
              <w:rPr>
                <w:rFonts w:ascii="Arial" w:hAnsi="Arial" w:cs="Arial"/>
                <w:b w:val="0"/>
                <w:sz w:val="18"/>
                <w:szCs w:val="18"/>
              </w:rPr>
              <w:t>14.4 %</w:t>
            </w:r>
          </w:p>
        </w:tc>
      </w:tr>
      <w:tr w:rsidR="00AA0E8B" w:rsidRPr="00F25DDA" w14:paraId="744FB16E" w14:textId="77777777" w:rsidTr="00A90A4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024F1DFB" w14:textId="77777777" w:rsidR="00AA0E8B" w:rsidRPr="00F25DDA" w:rsidRDefault="00AA0E8B" w:rsidP="00A90A48">
            <w:pPr>
              <w:jc w:val="both"/>
              <w:rPr>
                <w:rFonts w:ascii="Arial" w:hAnsi="Arial" w:cs="Arial"/>
                <w:color w:val="auto"/>
                <w:sz w:val="18"/>
                <w:szCs w:val="18"/>
              </w:rPr>
            </w:pPr>
            <w:r w:rsidRPr="00F25DDA">
              <w:rPr>
                <w:rFonts w:ascii="Arial" w:hAnsi="Arial" w:cs="Arial"/>
                <w:color w:val="auto"/>
                <w:sz w:val="18"/>
                <w:szCs w:val="18"/>
              </w:rPr>
              <w:t xml:space="preserve">Assicurarsi che almeno </w:t>
            </w:r>
            <w:proofErr w:type="gramStart"/>
            <w:r w:rsidRPr="00F25DDA">
              <w:rPr>
                <w:rFonts w:ascii="Arial" w:hAnsi="Arial" w:cs="Arial"/>
                <w:color w:val="auto"/>
                <w:sz w:val="18"/>
                <w:szCs w:val="18"/>
              </w:rPr>
              <w:t>l’85%</w:t>
            </w:r>
            <w:proofErr w:type="gramEnd"/>
            <w:r w:rsidRPr="00F25DDA">
              <w:rPr>
                <w:rFonts w:ascii="Arial" w:hAnsi="Arial" w:cs="Arial"/>
                <w:color w:val="auto"/>
                <w:sz w:val="18"/>
                <w:szCs w:val="18"/>
              </w:rPr>
              <w:t xml:space="preserve"> dei giovani completino le scuole superiori.</w:t>
            </w:r>
          </w:p>
        </w:tc>
        <w:tc>
          <w:tcPr>
            <w:cnfStyle w:val="000100000000" w:firstRow="0" w:lastRow="0" w:firstColumn="0" w:lastColumn="1" w:oddVBand="0" w:evenVBand="0" w:oddHBand="0" w:evenHBand="0" w:firstRowFirstColumn="0" w:firstRowLastColumn="0" w:lastRowFirstColumn="0" w:lastRowLastColumn="0"/>
            <w:tcW w:w="4889" w:type="dxa"/>
          </w:tcPr>
          <w:p w14:paraId="303DE6C6" w14:textId="77777777" w:rsidR="00AA0E8B" w:rsidRPr="00F25DDA" w:rsidRDefault="00AA0E8B" w:rsidP="00A90A48">
            <w:pPr>
              <w:autoSpaceDE w:val="0"/>
              <w:autoSpaceDN w:val="0"/>
              <w:adjustRightInd w:val="0"/>
              <w:jc w:val="right"/>
              <w:rPr>
                <w:rFonts w:ascii="Arial" w:hAnsi="Arial" w:cs="Arial"/>
                <w:b w:val="0"/>
                <w:sz w:val="18"/>
                <w:szCs w:val="18"/>
              </w:rPr>
            </w:pPr>
            <w:r w:rsidRPr="00F25DDA">
              <w:rPr>
                <w:rFonts w:ascii="Arial" w:hAnsi="Arial" w:cs="Arial"/>
                <w:b w:val="0"/>
                <w:sz w:val="18"/>
                <w:szCs w:val="18"/>
              </w:rPr>
              <w:t>78.6 %</w:t>
            </w:r>
          </w:p>
          <w:p w14:paraId="51CB0370" w14:textId="77777777" w:rsidR="00AA0E8B" w:rsidRPr="00F25DDA" w:rsidRDefault="00AA0E8B" w:rsidP="00A90A48">
            <w:pPr>
              <w:jc w:val="right"/>
              <w:rPr>
                <w:rFonts w:ascii="Arial" w:hAnsi="Arial" w:cs="Arial"/>
                <w:b w:val="0"/>
                <w:sz w:val="18"/>
                <w:szCs w:val="18"/>
              </w:rPr>
            </w:pPr>
          </w:p>
        </w:tc>
      </w:tr>
      <w:tr w:rsidR="00AA0E8B" w:rsidRPr="00F25DDA" w14:paraId="56220ED7" w14:textId="77777777" w:rsidTr="00A90A48">
        <w:tc>
          <w:tcPr>
            <w:cnfStyle w:val="001000000000" w:firstRow="0" w:lastRow="0" w:firstColumn="1" w:lastColumn="0" w:oddVBand="0" w:evenVBand="0" w:oddHBand="0" w:evenHBand="0" w:firstRowFirstColumn="0" w:firstRowLastColumn="0" w:lastRowFirstColumn="0" w:lastRowLastColumn="0"/>
            <w:tcW w:w="4889" w:type="dxa"/>
          </w:tcPr>
          <w:p w14:paraId="3056CFAF" w14:textId="77777777" w:rsidR="00AA0E8B" w:rsidRPr="00F25DDA" w:rsidRDefault="00AA0E8B" w:rsidP="00A90A48">
            <w:pPr>
              <w:jc w:val="both"/>
              <w:rPr>
                <w:rFonts w:ascii="Arial" w:hAnsi="Arial" w:cs="Arial"/>
                <w:color w:val="auto"/>
                <w:sz w:val="18"/>
                <w:szCs w:val="18"/>
              </w:rPr>
            </w:pPr>
            <w:proofErr w:type="gramStart"/>
            <w:r w:rsidRPr="00F25DDA">
              <w:rPr>
                <w:rFonts w:ascii="Arial" w:hAnsi="Arial" w:cs="Arial"/>
                <w:color w:val="auto"/>
                <w:sz w:val="18"/>
                <w:szCs w:val="18"/>
              </w:rPr>
              <w:t>La</w:t>
            </w:r>
            <w:proofErr w:type="gramEnd"/>
            <w:r w:rsidRPr="00F25DDA">
              <w:rPr>
                <w:rFonts w:ascii="Arial" w:hAnsi="Arial" w:cs="Arial"/>
                <w:color w:val="auto"/>
                <w:sz w:val="18"/>
                <w:szCs w:val="18"/>
              </w:rPr>
              <w:t xml:space="preserve"> partecipazioni a corsi di formazione continua per gli adulti che lavorano (tra i 25 ed i 64 anni d’età) deve raggiungere almeno il 12,5% dei lavoratori.</w:t>
            </w:r>
          </w:p>
        </w:tc>
        <w:tc>
          <w:tcPr>
            <w:cnfStyle w:val="000100000000" w:firstRow="0" w:lastRow="0" w:firstColumn="0" w:lastColumn="1" w:oddVBand="0" w:evenVBand="0" w:oddHBand="0" w:evenHBand="0" w:firstRowFirstColumn="0" w:firstRowLastColumn="0" w:lastRowFirstColumn="0" w:lastRowLastColumn="0"/>
            <w:tcW w:w="4889" w:type="dxa"/>
          </w:tcPr>
          <w:p w14:paraId="0D6A36D5" w14:textId="77777777" w:rsidR="00AA0E8B" w:rsidRPr="00F25DDA" w:rsidRDefault="00AA0E8B" w:rsidP="00A90A48">
            <w:pPr>
              <w:autoSpaceDE w:val="0"/>
              <w:autoSpaceDN w:val="0"/>
              <w:adjustRightInd w:val="0"/>
              <w:jc w:val="right"/>
              <w:rPr>
                <w:rFonts w:ascii="Arial" w:hAnsi="Arial" w:cs="Arial"/>
                <w:b w:val="0"/>
                <w:sz w:val="18"/>
                <w:szCs w:val="18"/>
              </w:rPr>
            </w:pPr>
            <w:r w:rsidRPr="00F25DDA">
              <w:rPr>
                <w:rFonts w:ascii="Arial" w:hAnsi="Arial" w:cs="Arial"/>
                <w:b w:val="0"/>
                <w:sz w:val="18"/>
                <w:szCs w:val="18"/>
              </w:rPr>
              <w:t>9.3 %</w:t>
            </w:r>
          </w:p>
          <w:p w14:paraId="3EC63D14" w14:textId="77777777" w:rsidR="00AA0E8B" w:rsidRPr="00F25DDA" w:rsidRDefault="00AA0E8B" w:rsidP="00A90A48">
            <w:pPr>
              <w:jc w:val="right"/>
              <w:rPr>
                <w:rFonts w:ascii="Arial" w:hAnsi="Arial" w:cs="Arial"/>
                <w:b w:val="0"/>
                <w:sz w:val="18"/>
                <w:szCs w:val="18"/>
              </w:rPr>
            </w:pPr>
          </w:p>
        </w:tc>
      </w:tr>
      <w:tr w:rsidR="00AA0E8B" w:rsidRPr="00F25DDA" w14:paraId="60A2C857" w14:textId="77777777" w:rsidTr="00A90A4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tcPr>
          <w:p w14:paraId="73A0417E" w14:textId="77777777" w:rsidR="00AA0E8B" w:rsidRPr="00F25DDA" w:rsidRDefault="00AA0E8B" w:rsidP="00A90A48">
            <w:pPr>
              <w:jc w:val="both"/>
              <w:rPr>
                <w:rFonts w:ascii="Arial" w:hAnsi="Arial" w:cs="Arial"/>
                <w:color w:val="auto"/>
                <w:sz w:val="18"/>
                <w:szCs w:val="18"/>
              </w:rPr>
            </w:pPr>
            <w:r w:rsidRPr="00F25DDA">
              <w:rPr>
                <w:rFonts w:ascii="Arial" w:hAnsi="Arial" w:cs="Arial"/>
                <w:color w:val="auto"/>
                <w:sz w:val="18"/>
                <w:szCs w:val="18"/>
              </w:rPr>
              <w:t>Il numero totale di laureati in matematica, scienze, tecnologie in Europea, dovrebbe aumentare di almeno il 15% dal 2010, mentre lo squilibrio legato alla parità tra uomini e donne dovrebbe diminuire.</w:t>
            </w:r>
          </w:p>
        </w:tc>
        <w:tc>
          <w:tcPr>
            <w:cnfStyle w:val="000100000000" w:firstRow="0" w:lastRow="0" w:firstColumn="0" w:lastColumn="1" w:oddVBand="0" w:evenVBand="0" w:oddHBand="0" w:evenHBand="0" w:firstRowFirstColumn="0" w:firstRowLastColumn="0" w:lastRowFirstColumn="0" w:lastRowLastColumn="0"/>
            <w:tcW w:w="4889" w:type="dxa"/>
          </w:tcPr>
          <w:p w14:paraId="65FD747C" w14:textId="77777777" w:rsidR="00AA0E8B" w:rsidRPr="00F25DDA" w:rsidRDefault="00AA0E8B" w:rsidP="00A90A48">
            <w:pPr>
              <w:autoSpaceDE w:val="0"/>
              <w:autoSpaceDN w:val="0"/>
              <w:adjustRightInd w:val="0"/>
              <w:jc w:val="right"/>
              <w:rPr>
                <w:rFonts w:ascii="Arial" w:hAnsi="Arial" w:cs="Arial"/>
                <w:b w:val="0"/>
                <w:sz w:val="18"/>
                <w:szCs w:val="18"/>
              </w:rPr>
            </w:pPr>
            <w:r w:rsidRPr="00F25DDA">
              <w:rPr>
                <w:rFonts w:ascii="Arial" w:hAnsi="Arial" w:cs="Arial"/>
                <w:b w:val="0"/>
                <w:sz w:val="18"/>
                <w:szCs w:val="18"/>
              </w:rPr>
              <w:t>+ 33.8 % (*)</w:t>
            </w:r>
          </w:p>
          <w:p w14:paraId="476AA0AC" w14:textId="77777777" w:rsidR="00AA0E8B" w:rsidRPr="00F25DDA" w:rsidRDefault="00AA0E8B" w:rsidP="00A90A48">
            <w:pPr>
              <w:jc w:val="right"/>
              <w:rPr>
                <w:rFonts w:ascii="Arial" w:hAnsi="Arial" w:cs="Arial"/>
                <w:b w:val="0"/>
                <w:sz w:val="18"/>
                <w:szCs w:val="18"/>
              </w:rPr>
            </w:pPr>
          </w:p>
        </w:tc>
      </w:tr>
    </w:tbl>
    <w:p w14:paraId="5FEC93FC" w14:textId="77777777" w:rsidR="00AA0E8B" w:rsidRDefault="00AA0E8B" w:rsidP="00AA0E8B">
      <w:pPr>
        <w:jc w:val="both"/>
        <w:rPr>
          <w:rFonts w:ascii="HelveticaNeueLTCom-Cn" w:hAnsi="HelveticaNeueLTCom-Cn" w:cs="HelveticaNeueLTCom-Cn"/>
          <w:color w:val="231F20"/>
          <w:sz w:val="16"/>
          <w:szCs w:val="16"/>
          <w:lang w:val="en-GB"/>
        </w:rPr>
      </w:pPr>
      <w:r w:rsidRPr="00C64569">
        <w:rPr>
          <w:color w:val="231F20"/>
          <w:sz w:val="16"/>
          <w:szCs w:val="16"/>
          <w:lang w:val="en-GB"/>
        </w:rPr>
        <w:t xml:space="preserve">(*) </w:t>
      </w:r>
      <w:proofErr w:type="spellStart"/>
      <w:proofErr w:type="gramStart"/>
      <w:r w:rsidRPr="00C64569">
        <w:rPr>
          <w:color w:val="231F20"/>
          <w:sz w:val="16"/>
          <w:szCs w:val="16"/>
          <w:lang w:val="en-GB"/>
        </w:rPr>
        <w:t>dato</w:t>
      </w:r>
      <w:proofErr w:type="spellEnd"/>
      <w:proofErr w:type="gramEnd"/>
      <w:r w:rsidRPr="00C64569">
        <w:rPr>
          <w:color w:val="231F20"/>
          <w:sz w:val="16"/>
          <w:szCs w:val="16"/>
          <w:lang w:val="en-GB"/>
        </w:rPr>
        <w:t xml:space="preserve"> </w:t>
      </w:r>
      <w:proofErr w:type="spellStart"/>
      <w:r w:rsidRPr="00C64569">
        <w:rPr>
          <w:color w:val="231F20"/>
          <w:sz w:val="16"/>
          <w:szCs w:val="16"/>
          <w:lang w:val="en-GB"/>
        </w:rPr>
        <w:t>riferito</w:t>
      </w:r>
      <w:proofErr w:type="spellEnd"/>
      <w:r w:rsidRPr="00C64569">
        <w:rPr>
          <w:color w:val="231F20"/>
          <w:sz w:val="16"/>
          <w:szCs w:val="16"/>
          <w:lang w:val="en-GB"/>
        </w:rPr>
        <w:t xml:space="preserve"> al </w:t>
      </w:r>
      <w:proofErr w:type="spellStart"/>
      <w:r w:rsidRPr="00C64569">
        <w:rPr>
          <w:color w:val="231F20"/>
          <w:sz w:val="16"/>
          <w:szCs w:val="16"/>
          <w:lang w:val="en-GB"/>
        </w:rPr>
        <w:t>periodo</w:t>
      </w:r>
      <w:proofErr w:type="spellEnd"/>
      <w:r w:rsidRPr="00C64569">
        <w:rPr>
          <w:color w:val="231F20"/>
          <w:sz w:val="16"/>
          <w:szCs w:val="16"/>
          <w:lang w:val="en-GB"/>
        </w:rPr>
        <w:t xml:space="preserve"> 2000-2008</w:t>
      </w:r>
      <w:r w:rsidRPr="00C64569">
        <w:rPr>
          <w:rFonts w:ascii="HelveticaNeueLTCom-Cn" w:hAnsi="HelveticaNeueLTCom-Cn" w:cs="HelveticaNeueLTCom-Cn"/>
          <w:color w:val="231F20"/>
          <w:sz w:val="16"/>
          <w:szCs w:val="16"/>
          <w:lang w:val="en-GB"/>
        </w:rPr>
        <w:t>.</w:t>
      </w:r>
    </w:p>
    <w:p w14:paraId="11F61759" w14:textId="77777777" w:rsidR="00AA0E8B" w:rsidRDefault="00AA0E8B" w:rsidP="00AA0E8B">
      <w:pPr>
        <w:jc w:val="both"/>
        <w:rPr>
          <w:rFonts w:ascii="HelveticaNeueLTCom-Cn" w:hAnsi="HelveticaNeueLTCom-Cn" w:cs="HelveticaNeueLTCom-Cn"/>
          <w:color w:val="231F20"/>
          <w:sz w:val="16"/>
          <w:szCs w:val="16"/>
          <w:lang w:val="en-GB"/>
        </w:rPr>
      </w:pPr>
    </w:p>
    <w:p w14:paraId="28EA5AEB"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 xml:space="preserve">Nel marzo del 2010 è stata varata la strategia di Lisbona post 2010, in cui la Commissione europea ha presentato la strategia Europa 2020. La Commissione ha individuato tre ambiti diversi, da sostenere mediante </w:t>
      </w:r>
      <w:proofErr w:type="gramStart"/>
      <w:r w:rsidRPr="00DB146D">
        <w:rPr>
          <w:sz w:val="22"/>
          <w:szCs w:val="22"/>
        </w:rPr>
        <w:t>azioni concrete a livello europeo e nazionale</w:t>
      </w:r>
      <w:proofErr w:type="gramEnd"/>
      <w:r w:rsidRPr="00DB146D">
        <w:rPr>
          <w:sz w:val="22"/>
          <w:szCs w:val="22"/>
        </w:rPr>
        <w:t xml:space="preserve">: </w:t>
      </w:r>
    </w:p>
    <w:p w14:paraId="41AEBBF1" w14:textId="77777777" w:rsidR="00AA0E8B" w:rsidRPr="00DB146D" w:rsidRDefault="00AA0E8B" w:rsidP="00AA0E8B">
      <w:pPr>
        <w:pStyle w:val="NormaleWeb"/>
        <w:numPr>
          <w:ilvl w:val="0"/>
          <w:numId w:val="2"/>
        </w:numPr>
        <w:spacing w:before="0" w:beforeAutospacing="0" w:after="0" w:afterAutospacing="0" w:line="260" w:lineRule="exact"/>
        <w:jc w:val="both"/>
        <w:rPr>
          <w:sz w:val="22"/>
          <w:szCs w:val="22"/>
        </w:rPr>
      </w:pPr>
      <w:proofErr w:type="gramStart"/>
      <w:r w:rsidRPr="00DB146D">
        <w:rPr>
          <w:sz w:val="22"/>
          <w:szCs w:val="22"/>
        </w:rPr>
        <w:t>La crescita intelligente, promuovendo la conoscenza, l’innovazione, l’istruzione e la società digitale;</w:t>
      </w:r>
      <w:proofErr w:type="gramEnd"/>
    </w:p>
    <w:p w14:paraId="676CECD5" w14:textId="77777777" w:rsidR="00AA0E8B" w:rsidRPr="00DB146D" w:rsidRDefault="00AA0E8B" w:rsidP="00AA0E8B">
      <w:pPr>
        <w:pStyle w:val="NormaleWeb"/>
        <w:numPr>
          <w:ilvl w:val="0"/>
          <w:numId w:val="2"/>
        </w:numPr>
        <w:spacing w:before="0" w:beforeAutospacing="0" w:after="0" w:afterAutospacing="0" w:line="260" w:lineRule="exact"/>
        <w:jc w:val="both"/>
        <w:rPr>
          <w:sz w:val="22"/>
          <w:szCs w:val="22"/>
        </w:rPr>
      </w:pPr>
      <w:r w:rsidRPr="00DB146D">
        <w:rPr>
          <w:sz w:val="22"/>
          <w:szCs w:val="22"/>
        </w:rPr>
        <w:t xml:space="preserve">La crescita sostenibile, rendendo la nostra produzione più efficiente sotto il profilo dell’uso delle risorse, rilanciando </w:t>
      </w:r>
      <w:proofErr w:type="gramStart"/>
      <w:r w:rsidRPr="00DB146D">
        <w:rPr>
          <w:sz w:val="22"/>
          <w:szCs w:val="22"/>
        </w:rPr>
        <w:t>nel contempo</w:t>
      </w:r>
      <w:proofErr w:type="gramEnd"/>
      <w:r w:rsidRPr="00DB146D">
        <w:rPr>
          <w:sz w:val="22"/>
          <w:szCs w:val="22"/>
        </w:rPr>
        <w:t xml:space="preserve"> la nostra competitività;</w:t>
      </w:r>
    </w:p>
    <w:p w14:paraId="58C690E0" w14:textId="77777777" w:rsidR="00AA0E8B" w:rsidRDefault="00AA0E8B" w:rsidP="00AA0E8B">
      <w:pPr>
        <w:pStyle w:val="NormaleWeb"/>
        <w:numPr>
          <w:ilvl w:val="0"/>
          <w:numId w:val="2"/>
        </w:numPr>
        <w:spacing w:before="0" w:beforeAutospacing="0" w:after="0" w:afterAutospacing="0" w:line="260" w:lineRule="exact"/>
        <w:jc w:val="both"/>
        <w:rPr>
          <w:sz w:val="22"/>
          <w:szCs w:val="22"/>
        </w:rPr>
      </w:pPr>
      <w:r w:rsidRPr="00DB146D">
        <w:rPr>
          <w:sz w:val="22"/>
          <w:szCs w:val="22"/>
        </w:rPr>
        <w:t xml:space="preserve">La crescita inclusiva, </w:t>
      </w:r>
      <w:proofErr w:type="gramStart"/>
      <w:r w:rsidRPr="00DB146D">
        <w:rPr>
          <w:sz w:val="22"/>
          <w:szCs w:val="22"/>
        </w:rPr>
        <w:t>incentivando</w:t>
      </w:r>
      <w:proofErr w:type="gramEnd"/>
      <w:r w:rsidRPr="00DB146D">
        <w:rPr>
          <w:sz w:val="22"/>
          <w:szCs w:val="22"/>
        </w:rPr>
        <w:t xml:space="preserve"> la partecipazione al mercato del lavoro, l’acquisizione di competenze e la lotta alla povertà.</w:t>
      </w:r>
    </w:p>
    <w:p w14:paraId="54B0D7FC" w14:textId="77777777" w:rsidR="00AA0E8B" w:rsidRPr="00DB146D" w:rsidRDefault="00AA0E8B" w:rsidP="00AA0E8B">
      <w:pPr>
        <w:pStyle w:val="NormaleWeb"/>
        <w:spacing w:before="0" w:beforeAutospacing="0" w:after="0" w:afterAutospacing="0" w:line="260" w:lineRule="exact"/>
        <w:ind w:left="720"/>
        <w:jc w:val="both"/>
        <w:rPr>
          <w:sz w:val="22"/>
          <w:szCs w:val="22"/>
        </w:rPr>
      </w:pPr>
      <w:r w:rsidRPr="00DB146D">
        <w:rPr>
          <w:sz w:val="22"/>
          <w:szCs w:val="22"/>
        </w:rPr>
        <w:t xml:space="preserve"> </w:t>
      </w:r>
    </w:p>
    <w:p w14:paraId="1F5ACCFE"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Questa strategia ri</w:t>
      </w:r>
      <w:r>
        <w:rPr>
          <w:sz w:val="22"/>
          <w:szCs w:val="22"/>
        </w:rPr>
        <w:t xml:space="preserve">chiede un coinvolgimento </w:t>
      </w:r>
      <w:r w:rsidRPr="00DB146D">
        <w:rPr>
          <w:sz w:val="22"/>
          <w:szCs w:val="22"/>
        </w:rPr>
        <w:t xml:space="preserve">ai più elevati livelli politici e la mobilitazione di tutte le parti interessate in Europa. </w:t>
      </w:r>
    </w:p>
    <w:p w14:paraId="7976FC12" w14:textId="77777777" w:rsidR="00AA0E8B" w:rsidRPr="00DB146D" w:rsidRDefault="00AA0E8B" w:rsidP="00AA0E8B">
      <w:pPr>
        <w:pStyle w:val="NormaleWeb"/>
        <w:spacing w:before="0" w:beforeAutospacing="0" w:after="0" w:afterAutospacing="0" w:line="260" w:lineRule="exact"/>
        <w:jc w:val="both"/>
        <w:rPr>
          <w:sz w:val="22"/>
          <w:szCs w:val="22"/>
        </w:rPr>
      </w:pPr>
    </w:p>
    <w:p w14:paraId="64B12989" w14:textId="77777777" w:rsidR="00AA0E8B"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La strategia Europa 2020 propone cinque obiettivi che l’UE dovrebbe raggiungere entro il 2020 e in base ai quali saranno valutati i progressi compiuti:</w:t>
      </w:r>
    </w:p>
    <w:p w14:paraId="7B93554B" w14:textId="77777777" w:rsidR="00AA0E8B" w:rsidRPr="00DB146D" w:rsidRDefault="00AA0E8B" w:rsidP="00AA0E8B">
      <w:pPr>
        <w:pStyle w:val="NormaleWeb"/>
        <w:spacing w:before="0" w:beforeAutospacing="0" w:after="0" w:afterAutospacing="0" w:line="260" w:lineRule="exact"/>
        <w:jc w:val="both"/>
        <w:rPr>
          <w:sz w:val="22"/>
          <w:szCs w:val="22"/>
        </w:rPr>
      </w:pPr>
    </w:p>
    <w:p w14:paraId="5E3C06FF" w14:textId="77777777" w:rsidR="00AA0E8B" w:rsidRPr="00DB146D" w:rsidRDefault="00AA0E8B" w:rsidP="00AA0E8B">
      <w:pPr>
        <w:pStyle w:val="NormaleWeb"/>
        <w:numPr>
          <w:ilvl w:val="0"/>
          <w:numId w:val="1"/>
        </w:numPr>
        <w:spacing w:before="0" w:beforeAutospacing="0" w:after="0" w:afterAutospacing="0" w:line="260" w:lineRule="exact"/>
        <w:jc w:val="both"/>
        <w:rPr>
          <w:sz w:val="22"/>
          <w:szCs w:val="22"/>
        </w:rPr>
      </w:pPr>
      <w:r>
        <w:rPr>
          <w:sz w:val="22"/>
          <w:szCs w:val="22"/>
        </w:rPr>
        <w:t>I</w:t>
      </w:r>
      <w:r w:rsidRPr="00DB146D">
        <w:rPr>
          <w:sz w:val="22"/>
          <w:szCs w:val="22"/>
        </w:rPr>
        <w:t xml:space="preserve">l 75% delle persone di età compresa tra </w:t>
      </w:r>
      <w:proofErr w:type="gramStart"/>
      <w:r w:rsidRPr="00DB146D">
        <w:rPr>
          <w:sz w:val="22"/>
          <w:szCs w:val="22"/>
        </w:rPr>
        <w:t>20</w:t>
      </w:r>
      <w:proofErr w:type="gramEnd"/>
      <w:r w:rsidRPr="00DB146D">
        <w:rPr>
          <w:sz w:val="22"/>
          <w:szCs w:val="22"/>
        </w:rPr>
        <w:t xml:space="preserve"> e 64 anni dovrà avere un lavoro;</w:t>
      </w:r>
    </w:p>
    <w:p w14:paraId="3FE53C14" w14:textId="77777777" w:rsidR="00AA0E8B" w:rsidRPr="00DB146D" w:rsidRDefault="00AA0E8B" w:rsidP="00AA0E8B">
      <w:pPr>
        <w:pStyle w:val="NormaleWeb"/>
        <w:numPr>
          <w:ilvl w:val="0"/>
          <w:numId w:val="1"/>
        </w:numPr>
        <w:spacing w:before="0" w:beforeAutospacing="0" w:after="0" w:afterAutospacing="0" w:line="260" w:lineRule="exact"/>
        <w:jc w:val="both"/>
        <w:rPr>
          <w:sz w:val="22"/>
          <w:szCs w:val="22"/>
        </w:rPr>
      </w:pPr>
      <w:r>
        <w:rPr>
          <w:sz w:val="22"/>
          <w:szCs w:val="22"/>
        </w:rPr>
        <w:t>I</w:t>
      </w:r>
      <w:r w:rsidRPr="00DB146D">
        <w:rPr>
          <w:sz w:val="22"/>
          <w:szCs w:val="22"/>
        </w:rPr>
        <w:t>l 3% del PIL dell’UE dovrà essere investito in ricerca e sviluppo;</w:t>
      </w:r>
    </w:p>
    <w:p w14:paraId="583EA421" w14:textId="77777777" w:rsidR="00AA0E8B" w:rsidRPr="00DB146D" w:rsidRDefault="00AA0E8B" w:rsidP="00AA0E8B">
      <w:pPr>
        <w:numPr>
          <w:ilvl w:val="0"/>
          <w:numId w:val="1"/>
        </w:numPr>
        <w:autoSpaceDE w:val="0"/>
        <w:autoSpaceDN w:val="0"/>
        <w:adjustRightInd w:val="0"/>
        <w:spacing w:line="260" w:lineRule="exact"/>
        <w:jc w:val="both"/>
        <w:rPr>
          <w:sz w:val="22"/>
          <w:szCs w:val="22"/>
        </w:rPr>
      </w:pPr>
      <w:r>
        <w:rPr>
          <w:sz w:val="22"/>
          <w:szCs w:val="22"/>
        </w:rPr>
        <w:t>I</w:t>
      </w:r>
      <w:r w:rsidRPr="00DB146D">
        <w:rPr>
          <w:sz w:val="22"/>
          <w:szCs w:val="22"/>
        </w:rPr>
        <w:t xml:space="preserve"> traguardi “20/20/20” </w:t>
      </w:r>
      <w:proofErr w:type="gramStart"/>
      <w:r w:rsidRPr="00DB146D">
        <w:rPr>
          <w:sz w:val="22"/>
          <w:szCs w:val="22"/>
        </w:rPr>
        <w:t>dovranno</w:t>
      </w:r>
      <w:proofErr w:type="gramEnd"/>
      <w:r w:rsidRPr="00DB146D">
        <w:rPr>
          <w:sz w:val="22"/>
          <w:szCs w:val="22"/>
        </w:rPr>
        <w:t xml:space="preserve"> essere raggiunti mediante la riduzione dei gas ad effetto serra e dei consumi energetici del 20% e soddisfare il 20% del nostro fabbisogno energetico attraverso l’utilizzo delle energie rinnovabili;</w:t>
      </w:r>
    </w:p>
    <w:p w14:paraId="762B7029" w14:textId="77777777" w:rsidR="00AA0E8B" w:rsidRPr="00DB146D" w:rsidRDefault="00AA0E8B" w:rsidP="00AA0E8B">
      <w:pPr>
        <w:pStyle w:val="NormaleWeb"/>
        <w:numPr>
          <w:ilvl w:val="0"/>
          <w:numId w:val="1"/>
        </w:numPr>
        <w:spacing w:before="0" w:beforeAutospacing="0" w:after="0" w:afterAutospacing="0" w:line="260" w:lineRule="exact"/>
        <w:jc w:val="both"/>
        <w:rPr>
          <w:sz w:val="22"/>
          <w:szCs w:val="22"/>
        </w:rPr>
      </w:pPr>
      <w:r>
        <w:rPr>
          <w:sz w:val="22"/>
          <w:szCs w:val="22"/>
        </w:rPr>
        <w:t>I</w:t>
      </w:r>
      <w:r w:rsidRPr="00DB146D">
        <w:rPr>
          <w:sz w:val="22"/>
          <w:szCs w:val="22"/>
        </w:rPr>
        <w:t>l tas</w:t>
      </w:r>
      <w:r>
        <w:rPr>
          <w:sz w:val="22"/>
          <w:szCs w:val="22"/>
        </w:rPr>
        <w:t>so di abbandono scolastico dovrà</w:t>
      </w:r>
      <w:r w:rsidRPr="00DB146D">
        <w:rPr>
          <w:sz w:val="22"/>
          <w:szCs w:val="22"/>
        </w:rPr>
        <w:t xml:space="preserve"> essere inferiore al 10% e almeno il 40% dei giovani dovrà </w:t>
      </w:r>
      <w:r>
        <w:rPr>
          <w:sz w:val="22"/>
          <w:szCs w:val="22"/>
        </w:rPr>
        <w:t xml:space="preserve">avere una laurea o un diploma; </w:t>
      </w:r>
    </w:p>
    <w:p w14:paraId="7B7ABD7E" w14:textId="77777777" w:rsidR="00AA0E8B" w:rsidRDefault="00AA0E8B" w:rsidP="00AA0E8B">
      <w:pPr>
        <w:pStyle w:val="NormaleWeb"/>
        <w:numPr>
          <w:ilvl w:val="0"/>
          <w:numId w:val="1"/>
        </w:numPr>
        <w:spacing w:before="0" w:beforeAutospacing="0" w:after="0" w:afterAutospacing="0" w:line="260" w:lineRule="exact"/>
        <w:jc w:val="both"/>
        <w:rPr>
          <w:sz w:val="22"/>
          <w:szCs w:val="22"/>
        </w:rPr>
      </w:pPr>
      <w:r w:rsidRPr="00DB146D">
        <w:rPr>
          <w:sz w:val="22"/>
          <w:szCs w:val="22"/>
        </w:rPr>
        <w:t>20 milioni di persone in meno dovranno essere a rischio povertà.</w:t>
      </w:r>
    </w:p>
    <w:p w14:paraId="2EC47A7E" w14:textId="77777777" w:rsidR="00AA0E8B" w:rsidRPr="00DB146D" w:rsidRDefault="00AA0E8B" w:rsidP="00AA0E8B">
      <w:pPr>
        <w:pStyle w:val="NormaleWeb"/>
        <w:spacing w:before="0" w:beforeAutospacing="0" w:after="0" w:afterAutospacing="0" w:line="260" w:lineRule="exact"/>
        <w:ind w:left="360"/>
        <w:jc w:val="both"/>
        <w:rPr>
          <w:sz w:val="22"/>
          <w:szCs w:val="22"/>
        </w:rPr>
      </w:pPr>
    </w:p>
    <w:p w14:paraId="429C0705"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 xml:space="preserve">Per raggiungere questi </w:t>
      </w:r>
      <w:r>
        <w:rPr>
          <w:sz w:val="22"/>
          <w:szCs w:val="22"/>
        </w:rPr>
        <w:t>obiettivi</w:t>
      </w:r>
      <w:r w:rsidRPr="00DB146D">
        <w:rPr>
          <w:sz w:val="22"/>
          <w:szCs w:val="22"/>
        </w:rPr>
        <w:t xml:space="preserve">, la Commissione ha proposto un programma Europa 2020 che consiste in una serie </w:t>
      </w:r>
      <w:proofErr w:type="gramStart"/>
      <w:r w:rsidRPr="00DB146D">
        <w:rPr>
          <w:sz w:val="22"/>
          <w:szCs w:val="22"/>
        </w:rPr>
        <w:t xml:space="preserve">di </w:t>
      </w:r>
      <w:proofErr w:type="gramEnd"/>
      <w:r w:rsidRPr="00DB146D">
        <w:rPr>
          <w:sz w:val="22"/>
          <w:szCs w:val="22"/>
        </w:rPr>
        <w:t xml:space="preserve">iniziative </w:t>
      </w:r>
      <w:r>
        <w:rPr>
          <w:sz w:val="22"/>
          <w:szCs w:val="22"/>
        </w:rPr>
        <w:t>“</w:t>
      </w:r>
      <w:r w:rsidRPr="00DB146D">
        <w:rPr>
          <w:sz w:val="22"/>
          <w:szCs w:val="22"/>
        </w:rPr>
        <w:t>faro</w:t>
      </w:r>
      <w:r>
        <w:rPr>
          <w:sz w:val="22"/>
          <w:szCs w:val="22"/>
        </w:rPr>
        <w:t>”</w:t>
      </w:r>
      <w:r w:rsidRPr="00DB146D">
        <w:rPr>
          <w:sz w:val="22"/>
          <w:szCs w:val="22"/>
        </w:rPr>
        <w:t xml:space="preserve">. </w:t>
      </w:r>
    </w:p>
    <w:p w14:paraId="76C61D16"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 xml:space="preserve">I metodi di </w:t>
      </w:r>
      <w:proofErr w:type="spellStart"/>
      <w:r w:rsidRPr="008263FD">
        <w:rPr>
          <w:i/>
          <w:sz w:val="22"/>
          <w:szCs w:val="22"/>
        </w:rPr>
        <w:t>governance</w:t>
      </w:r>
      <w:proofErr w:type="spellEnd"/>
      <w:r w:rsidRPr="00DB146D">
        <w:rPr>
          <w:sz w:val="22"/>
          <w:szCs w:val="22"/>
        </w:rPr>
        <w:t xml:space="preserve"> saranno rafforzati affinché gli impegni </w:t>
      </w:r>
      <w:proofErr w:type="gramStart"/>
      <w:r w:rsidRPr="00DB146D">
        <w:rPr>
          <w:sz w:val="22"/>
          <w:szCs w:val="22"/>
        </w:rPr>
        <w:t>vengano</w:t>
      </w:r>
      <w:proofErr w:type="gramEnd"/>
      <w:r w:rsidRPr="00DB146D">
        <w:rPr>
          <w:sz w:val="22"/>
          <w:szCs w:val="22"/>
        </w:rPr>
        <w:t xml:space="preserve"> tradotti in azioni concrete in loco. La Commissione monitorerà i progressi raggiunti e le relazioni e le valutazioni nell’ambito di Europa 2020 e del patto di stabilità e crescita saranno elaborate contemporaneamente per migliorare la coerenza.</w:t>
      </w:r>
    </w:p>
    <w:p w14:paraId="2956BFC4"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P</w:t>
      </w:r>
      <w:r w:rsidRPr="00DB146D">
        <w:rPr>
          <w:sz w:val="22"/>
          <w:szCs w:val="22"/>
        </w:rPr>
        <w:t xml:space="preserve">roponiamo di seguito una tabella che illustra indicatori e benchmark applicati all’educazione </w:t>
      </w:r>
      <w:proofErr w:type="gramStart"/>
      <w:r w:rsidRPr="00DB146D">
        <w:rPr>
          <w:sz w:val="22"/>
          <w:szCs w:val="22"/>
        </w:rPr>
        <w:t>ed</w:t>
      </w:r>
      <w:proofErr w:type="gramEnd"/>
      <w:r w:rsidRPr="00DB146D">
        <w:rPr>
          <w:sz w:val="22"/>
          <w:szCs w:val="22"/>
        </w:rPr>
        <w:t xml:space="preserve"> alla formazione professionale in Europa. Tali dati sono confrontati con quelli dei tre paesi candidati a far parte dell’Unione europea: Croazia, Turchia e Repubblica Jugoslav</w:t>
      </w:r>
      <w:r>
        <w:rPr>
          <w:sz w:val="22"/>
          <w:szCs w:val="22"/>
        </w:rPr>
        <w:t>a</w:t>
      </w:r>
      <w:r w:rsidRPr="00DB146D">
        <w:rPr>
          <w:sz w:val="22"/>
          <w:szCs w:val="22"/>
        </w:rPr>
        <w:t xml:space="preserve"> di Macedonia.</w:t>
      </w:r>
    </w:p>
    <w:p w14:paraId="000795E7" w14:textId="77777777" w:rsidR="00AA0E8B" w:rsidRPr="00DB146D" w:rsidRDefault="00AA0E8B" w:rsidP="00AA0E8B">
      <w:pPr>
        <w:spacing w:line="260" w:lineRule="exact"/>
        <w:rPr>
          <w:color w:val="FF6600"/>
          <w:sz w:val="22"/>
          <w:szCs w:val="22"/>
          <w:lang w:val="fr-FR"/>
        </w:rPr>
      </w:pPr>
    </w:p>
    <w:p w14:paraId="3E0E6E46"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 xml:space="preserve">Secondo le statistiche </w:t>
      </w:r>
      <w:proofErr w:type="spellStart"/>
      <w:r w:rsidRPr="00DB146D">
        <w:rPr>
          <w:sz w:val="22"/>
          <w:szCs w:val="22"/>
        </w:rPr>
        <w:t>Eurostat</w:t>
      </w:r>
      <w:proofErr w:type="spellEnd"/>
      <w:r w:rsidRPr="00DB146D">
        <w:rPr>
          <w:sz w:val="22"/>
          <w:szCs w:val="22"/>
        </w:rPr>
        <w:t xml:space="preserve"> </w:t>
      </w:r>
      <w:proofErr w:type="gramStart"/>
      <w:r w:rsidRPr="00DB146D">
        <w:rPr>
          <w:sz w:val="22"/>
          <w:szCs w:val="22"/>
        </w:rPr>
        <w:t>relative al</w:t>
      </w:r>
      <w:proofErr w:type="gramEnd"/>
      <w:r w:rsidRPr="00DB146D">
        <w:rPr>
          <w:sz w:val="22"/>
          <w:szCs w:val="22"/>
        </w:rPr>
        <w:t xml:space="preserve"> 2008, le imprese svedesi e francesi sono state quelle che hanno maggiormente investito in formazione continua. </w:t>
      </w:r>
    </w:p>
    <w:p w14:paraId="4AA9457A"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La Danimarca e la Finlandia, invece, si collocano ai primi posti come numero di partecipanti in attività di formazione continua.</w:t>
      </w:r>
    </w:p>
    <w:p w14:paraId="5ADB3CD3" w14:textId="77777777" w:rsidR="00AA0E8B" w:rsidRPr="00F25DDA"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L’Italia, invece, occupa il dodicesimo posto</w:t>
      </w:r>
      <w:r>
        <w:rPr>
          <w:sz w:val="22"/>
          <w:szCs w:val="22"/>
        </w:rPr>
        <w:t>.</w:t>
      </w:r>
    </w:p>
    <w:p w14:paraId="27B94CE3"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 xml:space="preserve">Secondo le statistiche </w:t>
      </w:r>
      <w:proofErr w:type="spellStart"/>
      <w:r w:rsidRPr="00CE2CF7">
        <w:rPr>
          <w:i/>
          <w:sz w:val="22"/>
          <w:szCs w:val="22"/>
        </w:rPr>
        <w:t>Eurostat</w:t>
      </w:r>
      <w:proofErr w:type="spellEnd"/>
      <w:r w:rsidRPr="00CE2CF7">
        <w:rPr>
          <w:i/>
          <w:sz w:val="22"/>
          <w:szCs w:val="22"/>
        </w:rPr>
        <w:t>,</w:t>
      </w:r>
      <w:r w:rsidRPr="00DB146D">
        <w:rPr>
          <w:sz w:val="22"/>
          <w:szCs w:val="22"/>
        </w:rPr>
        <w:t xml:space="preserve"> la Danimarca </w:t>
      </w:r>
      <w:proofErr w:type="gramStart"/>
      <w:r w:rsidRPr="00DB146D">
        <w:rPr>
          <w:sz w:val="22"/>
          <w:szCs w:val="22"/>
        </w:rPr>
        <w:t>risulta</w:t>
      </w:r>
      <w:proofErr w:type="gramEnd"/>
      <w:r w:rsidRPr="00DB146D">
        <w:rPr>
          <w:sz w:val="22"/>
          <w:szCs w:val="22"/>
        </w:rPr>
        <w:t xml:space="preserve"> al primo posto anche per i costi complessivi sostenuti alle imprese per un’ora di formazione continua.</w:t>
      </w:r>
    </w:p>
    <w:p w14:paraId="0AC758F7"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L’Italia, invece, è al quarto posto, dopo Francia, Austria e appunto Danimarca.</w:t>
      </w:r>
    </w:p>
    <w:p w14:paraId="1CACAD8F" w14:textId="77777777" w:rsidR="00AA0E8B" w:rsidRDefault="00AA0E8B" w:rsidP="00AA0E8B">
      <w:pPr>
        <w:pStyle w:val="NormaleWeb"/>
        <w:spacing w:before="0" w:beforeAutospacing="0" w:after="0" w:afterAutospacing="0"/>
        <w:jc w:val="both"/>
      </w:pPr>
    </w:p>
    <w:p w14:paraId="278B18C6" w14:textId="77777777" w:rsidR="00AA0E8B" w:rsidRDefault="00AA0E8B" w:rsidP="00AA0E8B">
      <w:pPr>
        <w:pStyle w:val="NormaleWeb"/>
        <w:spacing w:before="0" w:beforeAutospacing="0" w:after="0" w:afterAutospacing="0"/>
        <w:jc w:val="both"/>
      </w:pPr>
    </w:p>
    <w:p w14:paraId="1E4224E5" w14:textId="77777777" w:rsidR="00AA0E8B" w:rsidRPr="00AE53A5" w:rsidRDefault="00AA0E8B" w:rsidP="00AA0E8B">
      <w:pPr>
        <w:rPr>
          <w:color w:val="FF6600"/>
        </w:rPr>
      </w:pPr>
    </w:p>
    <w:p w14:paraId="6A8E2B2C"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In generale, le sfide legate all’allargamento dell’Unione europea, continueranno a promuovere i legami migliori tra i sistemi </w:t>
      </w:r>
      <w:proofErr w:type="gramStart"/>
      <w:r w:rsidRPr="00DB146D">
        <w:rPr>
          <w:sz w:val="22"/>
          <w:szCs w:val="22"/>
        </w:rPr>
        <w:t xml:space="preserve">di </w:t>
      </w:r>
      <w:proofErr w:type="gramEnd"/>
      <w:r w:rsidRPr="00DB146D">
        <w:rPr>
          <w:sz w:val="22"/>
          <w:szCs w:val="22"/>
        </w:rPr>
        <w:t xml:space="preserve">istruzione e formazione professionale e l’occupazione, in preparazione per la Strategia di occupazione europea. </w:t>
      </w:r>
    </w:p>
    <w:p w14:paraId="6B1B29D9"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È fondamentale accertare l'efficacia della co</w:t>
      </w:r>
      <w:r>
        <w:rPr>
          <w:sz w:val="22"/>
          <w:szCs w:val="22"/>
        </w:rPr>
        <w:t xml:space="preserve">ordinazione fra gli </w:t>
      </w:r>
      <w:r w:rsidRPr="00CE2CF7">
        <w:rPr>
          <w:i/>
          <w:sz w:val="22"/>
          <w:szCs w:val="22"/>
        </w:rPr>
        <w:t>stakeholder</w:t>
      </w:r>
      <w:r w:rsidRPr="00DB146D">
        <w:rPr>
          <w:sz w:val="22"/>
          <w:szCs w:val="22"/>
        </w:rPr>
        <w:t xml:space="preserve"> </w:t>
      </w:r>
      <w:proofErr w:type="gramStart"/>
      <w:r w:rsidRPr="00DB146D">
        <w:rPr>
          <w:sz w:val="22"/>
          <w:szCs w:val="22"/>
        </w:rPr>
        <w:t>ed</w:t>
      </w:r>
      <w:proofErr w:type="gramEnd"/>
      <w:r w:rsidRPr="00DB146D">
        <w:rPr>
          <w:sz w:val="22"/>
          <w:szCs w:val="22"/>
        </w:rPr>
        <w:t xml:space="preserve"> i </w:t>
      </w:r>
      <w:r w:rsidRPr="00CE2CF7">
        <w:rPr>
          <w:i/>
          <w:sz w:val="22"/>
          <w:szCs w:val="22"/>
        </w:rPr>
        <w:t>partner</w:t>
      </w:r>
      <w:r w:rsidRPr="00DB146D">
        <w:rPr>
          <w:sz w:val="22"/>
          <w:szCs w:val="22"/>
        </w:rPr>
        <w:t xml:space="preserve"> sociali per la progettazione e la realizz</w:t>
      </w:r>
      <w:r>
        <w:rPr>
          <w:sz w:val="22"/>
          <w:szCs w:val="22"/>
        </w:rPr>
        <w:t>azione</w:t>
      </w:r>
      <w:r w:rsidRPr="00DB146D">
        <w:rPr>
          <w:sz w:val="22"/>
          <w:szCs w:val="22"/>
        </w:rPr>
        <w:t xml:space="preserve"> delle riforme. </w:t>
      </w:r>
    </w:p>
    <w:p w14:paraId="0C215522"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Ciò che è particolarmente necessario, è di indirizzare le sfide prima di tutto nella scuola primaria, poi nella partecipazione degli adulti all'apprendimento per tutta la vita, al sostegno dell’occupazione dei giovani </w:t>
      </w:r>
      <w:proofErr w:type="gramStart"/>
      <w:r w:rsidRPr="00DB146D">
        <w:rPr>
          <w:sz w:val="22"/>
          <w:szCs w:val="22"/>
        </w:rPr>
        <w:t>ed</w:t>
      </w:r>
      <w:proofErr w:type="gramEnd"/>
      <w:r w:rsidRPr="00DB146D">
        <w:rPr>
          <w:sz w:val="22"/>
          <w:szCs w:val="22"/>
        </w:rPr>
        <w:t xml:space="preserve"> alla ricollocazione dei disoccupati di lungo periodo. </w:t>
      </w:r>
    </w:p>
    <w:p w14:paraId="75CBB105" w14:textId="77777777" w:rsidR="00AA0E8B" w:rsidRDefault="00AA0E8B" w:rsidP="00AA0E8B">
      <w:pPr>
        <w:rPr>
          <w:sz w:val="22"/>
          <w:szCs w:val="22"/>
        </w:rPr>
      </w:pPr>
      <w:r>
        <w:rPr>
          <w:sz w:val="22"/>
          <w:szCs w:val="22"/>
        </w:rPr>
        <w:br w:type="page"/>
      </w:r>
    </w:p>
    <w:p w14:paraId="22530B73" w14:textId="77777777" w:rsidR="00AA0E8B" w:rsidRDefault="00AA0E8B" w:rsidP="00AA0E8B">
      <w:pPr>
        <w:jc w:val="both"/>
        <w:rPr>
          <w:sz w:val="22"/>
          <w:szCs w:val="22"/>
        </w:rPr>
      </w:pPr>
    </w:p>
    <w:p w14:paraId="66EAED5A" w14:textId="77777777" w:rsidR="00AA0E8B" w:rsidRPr="00EB496F" w:rsidRDefault="00AA0E8B" w:rsidP="00AA0E8B">
      <w:pPr>
        <w:jc w:val="both"/>
        <w:rPr>
          <w:sz w:val="22"/>
          <w:szCs w:val="22"/>
        </w:rPr>
      </w:pPr>
    </w:p>
    <w:p w14:paraId="5DA086D6" w14:textId="77777777" w:rsidR="00AA0E8B" w:rsidRPr="00EB496F" w:rsidRDefault="00AA0E8B" w:rsidP="00AA0E8B">
      <w:pPr>
        <w:jc w:val="both"/>
        <w:rPr>
          <w:rFonts w:ascii="Arial" w:hAnsi="Arial" w:cs="Arial"/>
          <w:b/>
          <w:i/>
        </w:rPr>
      </w:pPr>
      <w:proofErr w:type="gramStart"/>
      <w:r>
        <w:rPr>
          <w:rFonts w:ascii="Arial" w:hAnsi="Arial" w:cs="Arial"/>
          <w:b/>
          <w:i/>
        </w:rPr>
        <w:t>c.</w:t>
      </w:r>
      <w:proofErr w:type="gramEnd"/>
      <w:r>
        <w:rPr>
          <w:rFonts w:ascii="Arial" w:hAnsi="Arial" w:cs="Arial"/>
          <w:b/>
          <w:i/>
        </w:rPr>
        <w:t xml:space="preserve"> </w:t>
      </w:r>
      <w:r w:rsidRPr="00EB496F">
        <w:rPr>
          <w:rFonts w:ascii="Arial" w:hAnsi="Arial" w:cs="Arial"/>
          <w:b/>
          <w:i/>
        </w:rPr>
        <w:t>Nazionale</w:t>
      </w:r>
      <w:r>
        <w:rPr>
          <w:rFonts w:ascii="Arial" w:hAnsi="Arial" w:cs="Arial"/>
          <w:b/>
          <w:i/>
        </w:rPr>
        <w:fldChar w:fldCharType="begin"/>
      </w:r>
      <w:r>
        <w:instrText xml:space="preserve"> XE "</w:instrText>
      </w:r>
      <w:r>
        <w:rPr>
          <w:rFonts w:ascii="Arial" w:hAnsi="Arial" w:cs="Arial"/>
          <w:b/>
          <w:i/>
        </w:rPr>
        <w:instrText xml:space="preserve">c. </w:instrText>
      </w:r>
      <w:r w:rsidRPr="00EB496F">
        <w:rPr>
          <w:rFonts w:ascii="Arial" w:hAnsi="Arial" w:cs="Arial"/>
          <w:b/>
          <w:i/>
        </w:rPr>
        <w:instrText>Nazionale</w:instrText>
      </w:r>
      <w:r>
        <w:instrText xml:space="preserve">" </w:instrText>
      </w:r>
      <w:r>
        <w:rPr>
          <w:rFonts w:ascii="Arial" w:hAnsi="Arial" w:cs="Arial"/>
          <w:b/>
          <w:i/>
        </w:rPr>
        <w:fldChar w:fldCharType="end"/>
      </w:r>
    </w:p>
    <w:p w14:paraId="7261A438" w14:textId="77777777" w:rsidR="00AA0E8B" w:rsidRPr="00EB496F" w:rsidRDefault="00AA0E8B" w:rsidP="00AA0E8B">
      <w:pPr>
        <w:jc w:val="both"/>
        <w:rPr>
          <w:sz w:val="22"/>
          <w:szCs w:val="22"/>
        </w:rPr>
      </w:pPr>
    </w:p>
    <w:p w14:paraId="26E5E870" w14:textId="77777777" w:rsidR="00AA0E8B" w:rsidRDefault="00AA0E8B" w:rsidP="00AA0E8B">
      <w:pPr>
        <w:jc w:val="right"/>
        <w:rPr>
          <w:i/>
        </w:rPr>
      </w:pPr>
    </w:p>
    <w:p w14:paraId="5D12E056" w14:textId="77777777" w:rsidR="00AA0E8B" w:rsidRDefault="00AA0E8B" w:rsidP="00AA0E8B">
      <w:pPr>
        <w:jc w:val="right"/>
        <w:rPr>
          <w:i/>
        </w:rPr>
      </w:pPr>
    </w:p>
    <w:p w14:paraId="3835204E" w14:textId="77777777" w:rsidR="00AA0E8B" w:rsidRDefault="00AA0E8B" w:rsidP="00AA0E8B">
      <w:pPr>
        <w:jc w:val="right"/>
        <w:rPr>
          <w:i/>
        </w:rPr>
      </w:pPr>
    </w:p>
    <w:p w14:paraId="69251ABD" w14:textId="77777777" w:rsidR="00AA0E8B" w:rsidRDefault="00AA0E8B" w:rsidP="00AA0E8B">
      <w:pPr>
        <w:jc w:val="right"/>
        <w:rPr>
          <w:i/>
        </w:rPr>
      </w:pPr>
    </w:p>
    <w:p w14:paraId="4F7FACA9" w14:textId="77777777" w:rsidR="00AA0E8B" w:rsidRDefault="00AA0E8B" w:rsidP="00AA0E8B">
      <w:pPr>
        <w:jc w:val="right"/>
        <w:rPr>
          <w:i/>
        </w:rPr>
      </w:pPr>
    </w:p>
    <w:p w14:paraId="700FADBA" w14:textId="77777777" w:rsidR="00AA0E8B" w:rsidRDefault="00AA0E8B" w:rsidP="00AA0E8B">
      <w:pPr>
        <w:jc w:val="right"/>
        <w:rPr>
          <w:i/>
        </w:rPr>
      </w:pPr>
    </w:p>
    <w:p w14:paraId="2488ACB6" w14:textId="77777777" w:rsidR="00AA0E8B" w:rsidRDefault="00AA0E8B" w:rsidP="00AA0E8B">
      <w:pPr>
        <w:jc w:val="right"/>
        <w:rPr>
          <w:i/>
        </w:rPr>
      </w:pPr>
    </w:p>
    <w:p w14:paraId="2A568A93" w14:textId="77777777" w:rsidR="00AA0E8B" w:rsidRDefault="00AA0E8B" w:rsidP="00AA0E8B">
      <w:pPr>
        <w:jc w:val="right"/>
        <w:rPr>
          <w:i/>
        </w:rPr>
      </w:pPr>
    </w:p>
    <w:p w14:paraId="550EF5AE" w14:textId="77777777" w:rsidR="00AA0E8B" w:rsidRPr="003818C4" w:rsidRDefault="00AA0E8B" w:rsidP="00AA0E8B">
      <w:pPr>
        <w:jc w:val="right"/>
        <w:rPr>
          <w:i/>
        </w:rPr>
      </w:pPr>
    </w:p>
    <w:p w14:paraId="39F3EA9B" w14:textId="77777777" w:rsidR="00AA0E8B" w:rsidRPr="003976C4"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3976C4">
        <w:rPr>
          <w:sz w:val="22"/>
          <w:szCs w:val="22"/>
        </w:rPr>
        <w:t xml:space="preserve">Negli ultimi anni in Italia il numero di lavoratori che segue programmi di formazione professionale, siano essi percorsi di addestramento, aggiornamento o comportamentali, è aumentato. La quota di lavoratori in formazione continua, per lo più finalizzata all’aggiornamento professionale o all’acquisizione di nuove competenze, è stata circa del 43% nel 2008, conquistando quasi </w:t>
      </w:r>
      <w:proofErr w:type="gramStart"/>
      <w:r w:rsidRPr="003976C4">
        <w:rPr>
          <w:sz w:val="22"/>
          <w:szCs w:val="22"/>
        </w:rPr>
        <w:t>10</w:t>
      </w:r>
      <w:proofErr w:type="gramEnd"/>
      <w:r w:rsidRPr="003976C4">
        <w:rPr>
          <w:sz w:val="22"/>
          <w:szCs w:val="22"/>
        </w:rPr>
        <w:t xml:space="preserve"> punti percentuali rispetto al 2004. </w:t>
      </w:r>
    </w:p>
    <w:p w14:paraId="5D7C0058" w14:textId="77777777" w:rsidR="00AA0E8B" w:rsidRDefault="00AA0E8B" w:rsidP="00AA0E8B">
      <w:pPr>
        <w:pStyle w:val="NormaleWeb"/>
        <w:spacing w:before="0" w:beforeAutospacing="0" w:after="0" w:afterAutospacing="0" w:line="260" w:lineRule="exact"/>
        <w:jc w:val="both"/>
        <w:rPr>
          <w:i/>
          <w:sz w:val="22"/>
          <w:szCs w:val="22"/>
        </w:rPr>
      </w:pPr>
      <w:r>
        <w:rPr>
          <w:sz w:val="22"/>
          <w:szCs w:val="22"/>
        </w:rPr>
        <w:t xml:space="preserve">   </w:t>
      </w:r>
      <w:r w:rsidRPr="003976C4">
        <w:rPr>
          <w:sz w:val="22"/>
          <w:szCs w:val="22"/>
        </w:rPr>
        <w:t xml:space="preserve">Secondo il rapporto elaborato </w:t>
      </w:r>
      <w:proofErr w:type="spellStart"/>
      <w:r w:rsidRPr="003976C4">
        <w:rPr>
          <w:sz w:val="22"/>
          <w:szCs w:val="22"/>
        </w:rPr>
        <w:t>dall’Isfol</w:t>
      </w:r>
      <w:proofErr w:type="spellEnd"/>
      <w:r w:rsidRPr="003976C4">
        <w:rPr>
          <w:sz w:val="22"/>
          <w:szCs w:val="22"/>
        </w:rPr>
        <w:t xml:space="preserve"> </w:t>
      </w:r>
      <w:proofErr w:type="gramStart"/>
      <w:r w:rsidRPr="003976C4">
        <w:rPr>
          <w:sz w:val="22"/>
          <w:szCs w:val="22"/>
        </w:rPr>
        <w:t>INDACO-Lavoratori</w:t>
      </w:r>
      <w:proofErr w:type="gramEnd"/>
      <w:r w:rsidRPr="003976C4">
        <w:rPr>
          <w:sz w:val="22"/>
          <w:szCs w:val="22"/>
        </w:rPr>
        <w:t xml:space="preserve"> svolta nel 2009, il 34% delle imprese ha deciso di investire in formazione per i suoi dipendenti. Si tratta per lo più delle grandi imprese, che hanno la possibilità di investire maggiormente in formazione; a chiudere la classifica, troviamo le aziende artigiane, perché piccole, con poche risorse economiche da investire, e per la caratteristica dei loro prodotti: i mestieri artigi</w:t>
      </w:r>
      <w:r>
        <w:rPr>
          <w:sz w:val="22"/>
          <w:szCs w:val="22"/>
        </w:rPr>
        <w:t>a</w:t>
      </w:r>
      <w:r w:rsidRPr="003976C4">
        <w:rPr>
          <w:sz w:val="22"/>
          <w:szCs w:val="22"/>
        </w:rPr>
        <w:t xml:space="preserve">nali, infatti, </w:t>
      </w:r>
      <w:proofErr w:type="gramStart"/>
      <w:r w:rsidRPr="003976C4">
        <w:rPr>
          <w:sz w:val="22"/>
          <w:szCs w:val="22"/>
        </w:rPr>
        <w:t xml:space="preserve">si </w:t>
      </w:r>
      <w:proofErr w:type="gramEnd"/>
      <w:r w:rsidRPr="003976C4">
        <w:rPr>
          <w:sz w:val="22"/>
          <w:szCs w:val="22"/>
        </w:rPr>
        <w:t>imparano con l’affi</w:t>
      </w:r>
      <w:r>
        <w:rPr>
          <w:sz w:val="22"/>
          <w:szCs w:val="22"/>
        </w:rPr>
        <w:t>an</w:t>
      </w:r>
      <w:r w:rsidRPr="003976C4">
        <w:rPr>
          <w:sz w:val="22"/>
          <w:szCs w:val="22"/>
        </w:rPr>
        <w:t xml:space="preserve">camento del personale </w:t>
      </w:r>
      <w:r w:rsidRPr="003976C4">
        <w:rPr>
          <w:i/>
          <w:sz w:val="22"/>
          <w:szCs w:val="22"/>
        </w:rPr>
        <w:t>on the job.</w:t>
      </w:r>
    </w:p>
    <w:p w14:paraId="7926071B" w14:textId="77777777" w:rsidR="00AA0E8B" w:rsidRPr="00D06E21"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06E21">
        <w:rPr>
          <w:sz w:val="22"/>
          <w:szCs w:val="22"/>
        </w:rPr>
        <w:t xml:space="preserve">Dall’indagine </w:t>
      </w:r>
      <w:proofErr w:type="spellStart"/>
      <w:r w:rsidRPr="00D06E21">
        <w:rPr>
          <w:sz w:val="22"/>
          <w:szCs w:val="22"/>
        </w:rPr>
        <w:t>Isfol</w:t>
      </w:r>
      <w:proofErr w:type="spellEnd"/>
      <w:r w:rsidRPr="00D06E21">
        <w:rPr>
          <w:sz w:val="22"/>
          <w:szCs w:val="22"/>
        </w:rPr>
        <w:t xml:space="preserve">, realizzata in un campione di aziende per misurare gli eventuali cambiamenti delle prassi formative durante la crisi economica (dati rilevati nel Settembre del 2009), è emerso che circa il 79% delle imprese </w:t>
      </w:r>
      <w:proofErr w:type="gramStart"/>
      <w:r w:rsidRPr="00D06E21">
        <w:rPr>
          <w:sz w:val="22"/>
          <w:szCs w:val="22"/>
        </w:rPr>
        <w:t>intervistate</w:t>
      </w:r>
      <w:proofErr w:type="gramEnd"/>
      <w:r w:rsidRPr="00D06E21">
        <w:rPr>
          <w:sz w:val="22"/>
          <w:szCs w:val="22"/>
        </w:rPr>
        <w:t xml:space="preserve"> ha dichiarato di subirne gli effetti: la grande industria ha riscontra</w:t>
      </w:r>
      <w:r>
        <w:rPr>
          <w:sz w:val="22"/>
          <w:szCs w:val="22"/>
        </w:rPr>
        <w:t>to la quota maggiore di imprese; oltre il 91%</w:t>
      </w:r>
      <w:r w:rsidRPr="00D06E21">
        <w:rPr>
          <w:sz w:val="22"/>
          <w:szCs w:val="22"/>
        </w:rPr>
        <w:t xml:space="preserve"> ha percepito gli effetti della crisi. Il</w:t>
      </w:r>
      <w:proofErr w:type="gramStart"/>
      <w:r w:rsidRPr="00D06E21">
        <w:rPr>
          <w:sz w:val="22"/>
          <w:szCs w:val="22"/>
        </w:rPr>
        <w:t xml:space="preserve">  </w:t>
      </w:r>
      <w:proofErr w:type="gramEnd"/>
      <w:r w:rsidRPr="00D06E21">
        <w:rPr>
          <w:sz w:val="22"/>
          <w:szCs w:val="22"/>
        </w:rPr>
        <w:t xml:space="preserve">70,5% ha registrato un calo del fatturato, a cui spesso si accompagna quello degli ordinativi (60,9%). </w:t>
      </w:r>
    </w:p>
    <w:p w14:paraId="42EBA087" w14:textId="77777777" w:rsidR="00AA0E8B" w:rsidRPr="00D06E21" w:rsidRDefault="00AA0E8B" w:rsidP="00AA0E8B">
      <w:pPr>
        <w:autoSpaceDE w:val="0"/>
        <w:autoSpaceDN w:val="0"/>
        <w:adjustRightInd w:val="0"/>
        <w:spacing w:line="260" w:lineRule="exact"/>
        <w:jc w:val="both"/>
        <w:rPr>
          <w:sz w:val="22"/>
          <w:szCs w:val="22"/>
        </w:rPr>
      </w:pPr>
      <w:r>
        <w:rPr>
          <w:sz w:val="22"/>
          <w:szCs w:val="22"/>
        </w:rPr>
        <w:t xml:space="preserve">   </w:t>
      </w:r>
      <w:r w:rsidRPr="00D06E21">
        <w:rPr>
          <w:sz w:val="22"/>
          <w:szCs w:val="22"/>
        </w:rPr>
        <w:t xml:space="preserve">In tale </w:t>
      </w:r>
      <w:proofErr w:type="gramStart"/>
      <w:r w:rsidRPr="00D06E21">
        <w:rPr>
          <w:sz w:val="22"/>
          <w:szCs w:val="22"/>
        </w:rPr>
        <w:t>contesto</w:t>
      </w:r>
      <w:proofErr w:type="gramEnd"/>
      <w:r w:rsidRPr="00D06E21">
        <w:rPr>
          <w:sz w:val="22"/>
          <w:szCs w:val="22"/>
        </w:rPr>
        <w:t>, minore peso ha assunto la diminuzione degli addetti (registrato nel 23,7% dei casi) ed anche di alcune tipologie di investimenti (strettamente produttivi, ma anche in promozione e in formazione) che, al contrario, sembrano in controtendenza: soprattutto per quanto concerne la formazione.</w:t>
      </w:r>
    </w:p>
    <w:p w14:paraId="647A2F7C" w14:textId="77777777" w:rsidR="00AA0E8B" w:rsidRPr="00D06E21" w:rsidRDefault="00AA0E8B" w:rsidP="00AA0E8B">
      <w:pPr>
        <w:autoSpaceDE w:val="0"/>
        <w:autoSpaceDN w:val="0"/>
        <w:adjustRightInd w:val="0"/>
        <w:spacing w:line="260" w:lineRule="exact"/>
        <w:jc w:val="both"/>
        <w:rPr>
          <w:sz w:val="22"/>
          <w:szCs w:val="22"/>
        </w:rPr>
      </w:pPr>
      <w:r>
        <w:rPr>
          <w:sz w:val="22"/>
          <w:szCs w:val="22"/>
        </w:rPr>
        <w:t xml:space="preserve">   </w:t>
      </w:r>
      <w:r w:rsidRPr="00D06E21">
        <w:rPr>
          <w:sz w:val="22"/>
          <w:szCs w:val="22"/>
        </w:rPr>
        <w:t xml:space="preserve">Da questa indagine è emerso che la maggior parte delle imprese intervistate, ha dichiarato l’intenzione di realizzare iniziative di formazione in futuro, attraverso investimenti diretti (oltre il 60% del campione) prevalentemente su temi legati alla “manutenzione” e al rilancio del </w:t>
      </w:r>
      <w:r w:rsidRPr="00292341">
        <w:rPr>
          <w:i/>
          <w:sz w:val="22"/>
          <w:szCs w:val="22"/>
        </w:rPr>
        <w:t>know-how</w:t>
      </w:r>
      <w:r w:rsidRPr="00D06E21">
        <w:rPr>
          <w:sz w:val="22"/>
          <w:szCs w:val="22"/>
        </w:rPr>
        <w:t xml:space="preserve"> conoscitivo e professionale dell’impresa, perché ritengono fondamentale rispondere alle esigenze di mercato, sia attraverso l’aggiornamento delle competenze del personale (43,5%), sia attraverso il miglioramento della competitività d’impresa (oltre 13%).</w:t>
      </w:r>
    </w:p>
    <w:p w14:paraId="3E7C9D16" w14:textId="77777777" w:rsidR="00AA0E8B" w:rsidRPr="00D06E21" w:rsidRDefault="00AA0E8B" w:rsidP="00AA0E8B">
      <w:pPr>
        <w:autoSpaceDE w:val="0"/>
        <w:autoSpaceDN w:val="0"/>
        <w:adjustRightInd w:val="0"/>
        <w:spacing w:line="260" w:lineRule="exact"/>
        <w:jc w:val="both"/>
        <w:rPr>
          <w:sz w:val="22"/>
          <w:szCs w:val="22"/>
        </w:rPr>
      </w:pPr>
      <w:r>
        <w:rPr>
          <w:sz w:val="22"/>
          <w:szCs w:val="22"/>
        </w:rPr>
        <w:t xml:space="preserve">   </w:t>
      </w:r>
      <w:r w:rsidRPr="00D06E21">
        <w:rPr>
          <w:sz w:val="22"/>
          <w:szCs w:val="22"/>
        </w:rPr>
        <w:t>Per quanto riguarda la formazione effettivamente svolta, è stata realizzata con il supporto di risorse finanziarie esterne all’impresa per non oltre il 20% dei casi: questa percentuale varia soprattutto rispetto alla dimensione dell’azienda, con una maggiore capacità da parte delle grandi imprese di utilizzare le fonti finanziate, soprattutto quelle pubbliche (ciò riguarda il 61% delle imprese del campione che hanno ricevuto finanziamenti</w:t>
      </w:r>
      <w:proofErr w:type="gramStart"/>
      <w:r w:rsidRPr="00D06E21">
        <w:rPr>
          <w:sz w:val="22"/>
          <w:szCs w:val="22"/>
        </w:rPr>
        <w:t>)</w:t>
      </w:r>
      <w:proofErr w:type="gramEnd"/>
      <w:r w:rsidRPr="00D06E21">
        <w:rPr>
          <w:sz w:val="22"/>
          <w:szCs w:val="22"/>
        </w:rPr>
        <w:t>”.</w:t>
      </w:r>
    </w:p>
    <w:p w14:paraId="4DA32431" w14:textId="77777777" w:rsidR="00AA0E8B" w:rsidRPr="00FA6C69" w:rsidRDefault="00AA0E8B" w:rsidP="00AA0E8B">
      <w:pPr>
        <w:pStyle w:val="NormaleWeb"/>
        <w:spacing w:before="0" w:beforeAutospacing="0" w:after="0" w:afterAutospacing="0"/>
        <w:jc w:val="both"/>
        <w:rPr>
          <w:sz w:val="18"/>
          <w:szCs w:val="18"/>
        </w:rPr>
      </w:pPr>
    </w:p>
    <w:p w14:paraId="06B0456B"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Dai dati della ricerca emerge, inoltre, che i Fondi Paritetici Interprofessionali per la formazione continua si stanno diffo</w:t>
      </w:r>
      <w:r>
        <w:rPr>
          <w:sz w:val="22"/>
          <w:szCs w:val="22"/>
        </w:rPr>
        <w:t>n</w:t>
      </w:r>
      <w:r w:rsidRPr="00DB146D">
        <w:rPr>
          <w:sz w:val="22"/>
          <w:szCs w:val="22"/>
        </w:rPr>
        <w:t xml:space="preserve">dendo: vi aderiscono, infatti, il 42% delle imprese che coinvolgono il 59% dei lavoratori. Nel 2008 tali Fondi hanno finanziato attività formative per 440 milioni di euro. </w:t>
      </w:r>
    </w:p>
    <w:p w14:paraId="3363D6A4" w14:textId="77777777" w:rsidR="00AA0E8B" w:rsidRPr="00DB146D" w:rsidRDefault="00AA0E8B" w:rsidP="00AA0E8B">
      <w:pPr>
        <w:pStyle w:val="NormaleWeb"/>
        <w:spacing w:before="0" w:beforeAutospacing="0" w:after="0" w:afterAutospacing="0" w:line="260" w:lineRule="exact"/>
        <w:jc w:val="both"/>
        <w:rPr>
          <w:sz w:val="22"/>
          <w:szCs w:val="22"/>
        </w:rPr>
      </w:pPr>
      <w:r>
        <w:rPr>
          <w:sz w:val="22"/>
          <w:szCs w:val="22"/>
        </w:rPr>
        <w:t xml:space="preserve">   </w:t>
      </w:r>
      <w:r w:rsidRPr="00DB146D">
        <w:rPr>
          <w:sz w:val="22"/>
          <w:szCs w:val="22"/>
        </w:rPr>
        <w:t>Nonostante la crescita delle opportunità formative, rimangono differenze rilevanti all’accesso alla formazione fra i dipendenti pubblici, privati e i lavoratori autonomi, pari al 58,3% per i primi, 39,5% per i secondi e 36,3% per gli ultimi.</w:t>
      </w:r>
    </w:p>
    <w:p w14:paraId="182E10F8"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Nel 2009, contrariamente alle attese, in Italia si è registrato un aumento del 6%, comparato all’anno precedente, dell’offerta formativa delle aziende, sostenuto dall’investimento dell’incremento delle competenze </w:t>
      </w:r>
      <w:proofErr w:type="gramStart"/>
      <w:r w:rsidRPr="00DB146D">
        <w:rPr>
          <w:sz w:val="22"/>
          <w:szCs w:val="22"/>
        </w:rPr>
        <w:t>dei</w:t>
      </w:r>
      <w:proofErr w:type="gramEnd"/>
      <w:r w:rsidRPr="00DB146D">
        <w:rPr>
          <w:sz w:val="22"/>
          <w:szCs w:val="22"/>
        </w:rPr>
        <w:t xml:space="preserve"> lavoratori. </w:t>
      </w:r>
    </w:p>
    <w:p w14:paraId="3A4DC732" w14:textId="77777777" w:rsidR="00AA0E8B" w:rsidRDefault="00AA0E8B" w:rsidP="00AA0E8B">
      <w:pPr>
        <w:jc w:val="both"/>
      </w:pPr>
    </w:p>
    <w:p w14:paraId="54DF9F7B" w14:textId="77777777" w:rsidR="00AA0E8B" w:rsidRPr="00A97770" w:rsidRDefault="00AA0E8B" w:rsidP="00AA0E8B">
      <w:pPr>
        <w:widowControl w:val="0"/>
        <w:autoSpaceDE w:val="0"/>
        <w:autoSpaceDN w:val="0"/>
        <w:adjustRightInd w:val="0"/>
        <w:spacing w:line="260" w:lineRule="exact"/>
        <w:jc w:val="both"/>
        <w:rPr>
          <w:sz w:val="22"/>
          <w:szCs w:val="22"/>
        </w:rPr>
      </w:pPr>
    </w:p>
    <w:p w14:paraId="21F6151E" w14:textId="77777777" w:rsidR="00AA0E8B" w:rsidRPr="00A97770" w:rsidRDefault="00AA0E8B" w:rsidP="00AA0E8B">
      <w:pPr>
        <w:spacing w:line="260" w:lineRule="exact"/>
        <w:jc w:val="both"/>
        <w:rPr>
          <w:sz w:val="22"/>
          <w:szCs w:val="22"/>
        </w:rPr>
      </w:pPr>
      <w:r>
        <w:rPr>
          <w:sz w:val="22"/>
          <w:szCs w:val="22"/>
        </w:rPr>
        <w:t xml:space="preserve">   </w:t>
      </w:r>
      <w:r w:rsidRPr="00A97770">
        <w:rPr>
          <w:sz w:val="22"/>
          <w:szCs w:val="22"/>
        </w:rPr>
        <w:t xml:space="preserve">L'indagine </w:t>
      </w:r>
      <w:proofErr w:type="spellStart"/>
      <w:r w:rsidRPr="00A97770">
        <w:rPr>
          <w:sz w:val="22"/>
          <w:szCs w:val="22"/>
        </w:rPr>
        <w:t>Excelsior</w:t>
      </w:r>
      <w:proofErr w:type="spellEnd"/>
      <w:r w:rsidRPr="00A97770">
        <w:rPr>
          <w:sz w:val="22"/>
          <w:szCs w:val="22"/>
        </w:rPr>
        <w:t xml:space="preserve"> 2012</w:t>
      </w:r>
      <w:r w:rsidRPr="00A97770">
        <w:rPr>
          <w:rStyle w:val="Rimandonotaapidipagina"/>
          <w:sz w:val="22"/>
          <w:szCs w:val="22"/>
        </w:rPr>
        <w:footnoteReference w:id="5"/>
      </w:r>
      <w:r w:rsidRPr="00A97770">
        <w:rPr>
          <w:sz w:val="22"/>
          <w:szCs w:val="22"/>
        </w:rPr>
        <w:t xml:space="preserve"> </w:t>
      </w:r>
      <w:proofErr w:type="gramStart"/>
      <w:r w:rsidRPr="00A97770">
        <w:rPr>
          <w:sz w:val="22"/>
          <w:szCs w:val="22"/>
        </w:rPr>
        <w:t>(su</w:t>
      </w:r>
      <w:proofErr w:type="gramEnd"/>
      <w:r w:rsidRPr="00A97770">
        <w:rPr>
          <w:sz w:val="22"/>
          <w:szCs w:val="22"/>
        </w:rPr>
        <w:t xml:space="preserve"> un campione di 100.000 imprese) conferma che le imprese più grandi ricorrono alla formazione con più frequenza, anche se si registra una contrazione per quelle grandi al di sopra dei 250 dipendenti. Fra le grandi imprese quelle dell'area dei servizi hanno realizzato meno formazione così come quelle dei trasporti e della logistica. </w:t>
      </w:r>
      <w:r>
        <w:rPr>
          <w:sz w:val="22"/>
          <w:szCs w:val="22"/>
        </w:rPr>
        <w:t xml:space="preserve">   </w:t>
      </w:r>
      <w:r w:rsidRPr="00A97770">
        <w:rPr>
          <w:sz w:val="22"/>
          <w:szCs w:val="22"/>
        </w:rPr>
        <w:t>Risulta, invece, in aumento la formazione per i servizi culturali e alle persone, così come l’area di servizi dedicati all'istruzione e alla formazione (dal 47%</w:t>
      </w:r>
      <w:proofErr w:type="gramStart"/>
      <w:r w:rsidRPr="00A97770">
        <w:rPr>
          <w:sz w:val="22"/>
          <w:szCs w:val="22"/>
        </w:rPr>
        <w:t>,</w:t>
      </w:r>
      <w:proofErr w:type="gramEnd"/>
      <w:r w:rsidRPr="00A97770">
        <w:rPr>
          <w:sz w:val="22"/>
          <w:szCs w:val="22"/>
        </w:rPr>
        <w:t>8% del 2010 al 51,1% del 2012).</w:t>
      </w:r>
    </w:p>
    <w:p w14:paraId="7894D4CB" w14:textId="77777777" w:rsidR="00AA0E8B" w:rsidRPr="00A97770" w:rsidRDefault="00AA0E8B" w:rsidP="00AA0E8B">
      <w:pPr>
        <w:spacing w:line="260" w:lineRule="exact"/>
        <w:jc w:val="both"/>
        <w:rPr>
          <w:sz w:val="22"/>
          <w:szCs w:val="22"/>
        </w:rPr>
      </w:pPr>
      <w:r>
        <w:rPr>
          <w:sz w:val="22"/>
          <w:szCs w:val="22"/>
        </w:rPr>
        <w:t xml:space="preserve">   </w:t>
      </w:r>
      <w:r w:rsidRPr="00A97770">
        <w:rPr>
          <w:sz w:val="22"/>
          <w:szCs w:val="22"/>
        </w:rPr>
        <w:t xml:space="preserve">Il Centro (6,3%) è l'area con il più alto tasso di partecipazione della popolazione, segue il Nord Ovest (5,6%) e ultimo con solo il 5,1% si attesta il Sud. Tra le singole regioni Trento, Bolzano, Abruzzo </w:t>
      </w:r>
      <w:proofErr w:type="gramStart"/>
      <w:r w:rsidRPr="00A97770">
        <w:rPr>
          <w:sz w:val="22"/>
          <w:szCs w:val="22"/>
        </w:rPr>
        <w:t>ed</w:t>
      </w:r>
      <w:proofErr w:type="gramEnd"/>
      <w:r w:rsidRPr="00A97770">
        <w:rPr>
          <w:sz w:val="22"/>
          <w:szCs w:val="22"/>
        </w:rPr>
        <w:t xml:space="preserve"> Umbria presentano i più alti tassi di partecipazione contrariamente a Sicilia, Campania e Puglia che detengono il primato per il </w:t>
      </w:r>
      <w:proofErr w:type="spellStart"/>
      <w:r w:rsidRPr="00A97770">
        <w:rPr>
          <w:sz w:val="22"/>
          <w:szCs w:val="22"/>
        </w:rPr>
        <w:t>bechmark</w:t>
      </w:r>
      <w:proofErr w:type="spellEnd"/>
      <w:r w:rsidRPr="00A97770">
        <w:rPr>
          <w:sz w:val="22"/>
          <w:szCs w:val="22"/>
        </w:rPr>
        <w:t xml:space="preserve"> più basso. Analizzando le classi di età troviamo una maggiore partecipazione ad attività formative tra i 25-34 anni, dato che decresce fino ad arrivare al 2,4% tra la popolazione 55-64 anni. </w:t>
      </w:r>
    </w:p>
    <w:p w14:paraId="00B47918" w14:textId="77777777" w:rsidR="00AA0E8B" w:rsidRPr="00250B9A" w:rsidRDefault="00AA0E8B" w:rsidP="00AA0E8B">
      <w:pPr>
        <w:widowControl w:val="0"/>
        <w:autoSpaceDE w:val="0"/>
        <w:autoSpaceDN w:val="0"/>
        <w:adjustRightInd w:val="0"/>
        <w:spacing w:line="260" w:lineRule="exact"/>
        <w:jc w:val="both"/>
        <w:rPr>
          <w:sz w:val="22"/>
          <w:szCs w:val="22"/>
        </w:rPr>
      </w:pPr>
      <w:r w:rsidRPr="00A97770">
        <w:rPr>
          <w:sz w:val="22"/>
          <w:szCs w:val="22"/>
        </w:rPr>
        <w:t xml:space="preserve">Il tasso di partecipazione femminile in Italia si attesta al 6%, contro il 5,3% degli uomini. </w:t>
      </w:r>
    </w:p>
    <w:p w14:paraId="26963F40" w14:textId="77777777" w:rsidR="00AA0E8B" w:rsidRDefault="00AA0E8B" w:rsidP="00AA0E8B">
      <w:pPr>
        <w:spacing w:line="260" w:lineRule="exact"/>
        <w:jc w:val="both"/>
        <w:rPr>
          <w:sz w:val="22"/>
          <w:szCs w:val="22"/>
        </w:rPr>
      </w:pPr>
    </w:p>
    <w:p w14:paraId="6D053032" w14:textId="77777777" w:rsidR="00AA0E8B" w:rsidRDefault="00AA0E8B" w:rsidP="00AA0E8B">
      <w:pPr>
        <w:spacing w:line="260" w:lineRule="exact"/>
        <w:jc w:val="both"/>
        <w:rPr>
          <w:sz w:val="22"/>
          <w:szCs w:val="22"/>
        </w:rPr>
      </w:pPr>
      <w:r>
        <w:rPr>
          <w:sz w:val="22"/>
          <w:szCs w:val="22"/>
        </w:rPr>
        <w:t xml:space="preserve">   </w:t>
      </w:r>
      <w:r w:rsidRPr="00DB146D">
        <w:rPr>
          <w:sz w:val="22"/>
          <w:szCs w:val="22"/>
        </w:rPr>
        <w:t xml:space="preserve">A conclusione di questa prima parte, possiamo affermare che lo scenario che si sta </w:t>
      </w:r>
      <w:proofErr w:type="gramStart"/>
      <w:r w:rsidRPr="00DB146D">
        <w:rPr>
          <w:sz w:val="22"/>
          <w:szCs w:val="22"/>
        </w:rPr>
        <w:t>delineando</w:t>
      </w:r>
      <w:proofErr w:type="gramEnd"/>
      <w:r w:rsidRPr="00DB146D">
        <w:rPr>
          <w:sz w:val="22"/>
          <w:szCs w:val="22"/>
        </w:rPr>
        <w:t xml:space="preserve"> nello sviluppo del settore della formazione è legato principalmente a quattro elementi:</w:t>
      </w:r>
    </w:p>
    <w:p w14:paraId="7B16F179" w14:textId="77777777" w:rsidR="00AA0E8B" w:rsidRPr="00DB146D" w:rsidRDefault="00AA0E8B" w:rsidP="00AA0E8B">
      <w:pPr>
        <w:spacing w:line="260" w:lineRule="exact"/>
        <w:jc w:val="both"/>
        <w:rPr>
          <w:sz w:val="22"/>
          <w:szCs w:val="22"/>
        </w:rPr>
      </w:pPr>
    </w:p>
    <w:p w14:paraId="3A3AA891" w14:textId="77777777" w:rsidR="00AA0E8B" w:rsidRPr="00DB146D" w:rsidRDefault="00AA0E8B" w:rsidP="00AA0E8B">
      <w:pPr>
        <w:numPr>
          <w:ilvl w:val="0"/>
          <w:numId w:val="3"/>
        </w:numPr>
        <w:spacing w:line="260" w:lineRule="exact"/>
        <w:jc w:val="both"/>
        <w:rPr>
          <w:sz w:val="22"/>
          <w:szCs w:val="22"/>
        </w:rPr>
      </w:pPr>
      <w:r w:rsidRPr="00DB146D">
        <w:rPr>
          <w:sz w:val="22"/>
          <w:szCs w:val="22"/>
        </w:rPr>
        <w:t xml:space="preserve">Un sistema di </w:t>
      </w:r>
      <w:r w:rsidRPr="005F48B1">
        <w:rPr>
          <w:i/>
          <w:sz w:val="22"/>
          <w:szCs w:val="22"/>
        </w:rPr>
        <w:t>audit</w:t>
      </w:r>
      <w:r w:rsidRPr="00DB146D">
        <w:rPr>
          <w:sz w:val="22"/>
          <w:szCs w:val="22"/>
        </w:rPr>
        <w:t xml:space="preserve"> permanente per </w:t>
      </w:r>
      <w:proofErr w:type="gramStart"/>
      <w:r w:rsidRPr="00DB146D">
        <w:rPr>
          <w:sz w:val="22"/>
          <w:szCs w:val="22"/>
        </w:rPr>
        <w:t>mettere a punto</w:t>
      </w:r>
      <w:proofErr w:type="gramEnd"/>
      <w:r w:rsidRPr="00DB146D">
        <w:rPr>
          <w:sz w:val="22"/>
          <w:szCs w:val="22"/>
        </w:rPr>
        <w:t xml:space="preserve"> i bi</w:t>
      </w:r>
      <w:r>
        <w:rPr>
          <w:sz w:val="22"/>
          <w:szCs w:val="22"/>
        </w:rPr>
        <w:t>sogni in formazione nel breve p</w:t>
      </w:r>
      <w:r w:rsidRPr="00DB146D">
        <w:rPr>
          <w:sz w:val="22"/>
          <w:szCs w:val="22"/>
        </w:rPr>
        <w:t>eriodo (un anno), tenendo conto delle variazioni del sistema economico nazionale (quindi la necessità che la formazione preveda i cambiamenti economici ed aiuti le aziende ad essere preparate nell’immediato);</w:t>
      </w:r>
    </w:p>
    <w:p w14:paraId="77619505" w14:textId="77777777" w:rsidR="00AA0E8B" w:rsidRPr="00DB146D" w:rsidRDefault="00AA0E8B" w:rsidP="00AA0E8B">
      <w:pPr>
        <w:numPr>
          <w:ilvl w:val="0"/>
          <w:numId w:val="3"/>
        </w:numPr>
        <w:spacing w:line="260" w:lineRule="exact"/>
        <w:jc w:val="both"/>
        <w:rPr>
          <w:sz w:val="22"/>
          <w:szCs w:val="22"/>
        </w:rPr>
      </w:pPr>
      <w:proofErr w:type="gramStart"/>
      <w:r w:rsidRPr="00DB146D">
        <w:rPr>
          <w:sz w:val="22"/>
          <w:szCs w:val="22"/>
        </w:rPr>
        <w:t>La costruzione di uno scenario di differenti metodologie per anticipare i bisogni formativi nel medio periodo (cinque anni) con un appro</w:t>
      </w:r>
      <w:r>
        <w:rPr>
          <w:sz w:val="22"/>
          <w:szCs w:val="22"/>
        </w:rPr>
        <w:t>c</w:t>
      </w:r>
      <w:r w:rsidRPr="00DB146D">
        <w:rPr>
          <w:sz w:val="22"/>
          <w:szCs w:val="22"/>
        </w:rPr>
        <w:t>cio</w:t>
      </w:r>
      <w:proofErr w:type="gramEnd"/>
      <w:r w:rsidRPr="00DB146D">
        <w:rPr>
          <w:sz w:val="22"/>
          <w:szCs w:val="22"/>
        </w:rPr>
        <w:t xml:space="preserve"> settoriale;</w:t>
      </w:r>
    </w:p>
    <w:p w14:paraId="759ED28E" w14:textId="77777777" w:rsidR="00AA0E8B" w:rsidRPr="00DB146D" w:rsidRDefault="00AA0E8B" w:rsidP="00AA0E8B">
      <w:pPr>
        <w:numPr>
          <w:ilvl w:val="0"/>
          <w:numId w:val="3"/>
        </w:numPr>
        <w:spacing w:line="260" w:lineRule="exact"/>
        <w:jc w:val="both"/>
        <w:rPr>
          <w:sz w:val="22"/>
          <w:szCs w:val="22"/>
        </w:rPr>
      </w:pPr>
      <w:r w:rsidRPr="00DB146D">
        <w:rPr>
          <w:sz w:val="22"/>
          <w:szCs w:val="22"/>
        </w:rPr>
        <w:t>La certificazione delle competenze acquisite in formazione;</w:t>
      </w:r>
    </w:p>
    <w:p w14:paraId="69008799" w14:textId="77777777" w:rsidR="00AA0E8B" w:rsidRDefault="00AA0E8B" w:rsidP="00AA0E8B">
      <w:pPr>
        <w:numPr>
          <w:ilvl w:val="0"/>
          <w:numId w:val="3"/>
        </w:numPr>
        <w:spacing w:line="260" w:lineRule="exact"/>
        <w:jc w:val="both"/>
        <w:rPr>
          <w:sz w:val="22"/>
          <w:szCs w:val="22"/>
        </w:rPr>
      </w:pPr>
      <w:proofErr w:type="gramStart"/>
      <w:r w:rsidRPr="00DB146D">
        <w:rPr>
          <w:sz w:val="22"/>
          <w:szCs w:val="22"/>
        </w:rPr>
        <w:t>L’incremento dell’utilizzo delle tecnologie avanzate all’interno dei diversi percorsi formativi</w:t>
      </w:r>
      <w:proofErr w:type="gramEnd"/>
      <w:r w:rsidRPr="00DB146D">
        <w:rPr>
          <w:sz w:val="22"/>
          <w:szCs w:val="22"/>
        </w:rPr>
        <w:t xml:space="preserve">. </w:t>
      </w:r>
    </w:p>
    <w:p w14:paraId="545ED5B8" w14:textId="77777777" w:rsidR="00AA0E8B" w:rsidRPr="00DB146D" w:rsidRDefault="00AA0E8B" w:rsidP="00AA0E8B">
      <w:pPr>
        <w:spacing w:line="260" w:lineRule="exact"/>
        <w:ind w:left="720"/>
        <w:jc w:val="both"/>
        <w:rPr>
          <w:sz w:val="22"/>
          <w:szCs w:val="22"/>
        </w:rPr>
      </w:pPr>
    </w:p>
    <w:p w14:paraId="5539C537"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Se pensiamo a qualche anno fa, il formatore poteva utilizzare come strumenti visivi, oltre alla tradizionale lavagna, la proiezione dei lucidi; all’inizio del 2000 iniziarono a diffondersi le presentazioni animate su computer, accompagnate dall’utilizzo di metodologie didattiche che svincolavano dal tradizionale insegnamento in aula. Nacquero nuovi approcci quali </w:t>
      </w:r>
      <w:proofErr w:type="spellStart"/>
      <w:r w:rsidRPr="00982E99">
        <w:rPr>
          <w:i/>
          <w:sz w:val="22"/>
          <w:szCs w:val="22"/>
        </w:rPr>
        <w:t>l’action</w:t>
      </w:r>
      <w:proofErr w:type="spellEnd"/>
      <w:r w:rsidRPr="00982E99">
        <w:rPr>
          <w:i/>
          <w:sz w:val="22"/>
          <w:szCs w:val="22"/>
        </w:rPr>
        <w:t xml:space="preserve"> </w:t>
      </w:r>
      <w:proofErr w:type="spellStart"/>
      <w:r w:rsidRPr="00982E99">
        <w:rPr>
          <w:i/>
          <w:sz w:val="22"/>
          <w:szCs w:val="22"/>
        </w:rPr>
        <w:t>learning</w:t>
      </w:r>
      <w:proofErr w:type="spellEnd"/>
      <w:r w:rsidRPr="00DB146D">
        <w:rPr>
          <w:sz w:val="22"/>
          <w:szCs w:val="22"/>
        </w:rPr>
        <w:t xml:space="preserve">, il </w:t>
      </w:r>
      <w:r w:rsidRPr="00982E99">
        <w:rPr>
          <w:i/>
          <w:sz w:val="22"/>
          <w:szCs w:val="22"/>
        </w:rPr>
        <w:t>coaching</w:t>
      </w:r>
      <w:r>
        <w:rPr>
          <w:sz w:val="22"/>
          <w:szCs w:val="22"/>
        </w:rPr>
        <w:t xml:space="preserve">, le attività di </w:t>
      </w:r>
      <w:r>
        <w:rPr>
          <w:i/>
          <w:sz w:val="22"/>
          <w:szCs w:val="22"/>
        </w:rPr>
        <w:t>e-L</w:t>
      </w:r>
      <w:r w:rsidRPr="00982E99">
        <w:rPr>
          <w:i/>
          <w:sz w:val="22"/>
          <w:szCs w:val="22"/>
        </w:rPr>
        <w:t>earning</w:t>
      </w:r>
      <w:r w:rsidRPr="00DB146D">
        <w:rPr>
          <w:sz w:val="22"/>
          <w:szCs w:val="22"/>
        </w:rPr>
        <w:t>.</w:t>
      </w:r>
    </w:p>
    <w:p w14:paraId="244FB2DD"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Oggi</w:t>
      </w:r>
      <w:r>
        <w:rPr>
          <w:sz w:val="22"/>
          <w:szCs w:val="22"/>
        </w:rPr>
        <w:t>,</w:t>
      </w:r>
      <w:r w:rsidRPr="00DB146D">
        <w:rPr>
          <w:sz w:val="22"/>
          <w:szCs w:val="22"/>
        </w:rPr>
        <w:t xml:space="preserve"> agli attori del mondo della formazione </w:t>
      </w:r>
      <w:proofErr w:type="gramStart"/>
      <w:r w:rsidRPr="00DB146D">
        <w:rPr>
          <w:sz w:val="22"/>
          <w:szCs w:val="22"/>
        </w:rPr>
        <w:t>viene</w:t>
      </w:r>
      <w:proofErr w:type="gramEnd"/>
      <w:r w:rsidRPr="00DB146D">
        <w:rPr>
          <w:sz w:val="22"/>
          <w:szCs w:val="22"/>
        </w:rPr>
        <w:t xml:space="preserve"> chiesto di utilizzare approcci interattivi capaci di stare al passo con le esigenze del mercato ed in grado di gestire in maniera efficiente ed efficace il tempo del discente, che ne possiede sempre di meno e che da un intervento formativo si aspetta di sviluppare </w:t>
      </w:r>
      <w:r w:rsidRPr="00410FA3">
        <w:rPr>
          <w:i/>
          <w:sz w:val="22"/>
          <w:szCs w:val="22"/>
        </w:rPr>
        <w:t>network</w:t>
      </w:r>
      <w:r w:rsidRPr="00DB146D">
        <w:rPr>
          <w:sz w:val="22"/>
          <w:szCs w:val="22"/>
        </w:rPr>
        <w:t xml:space="preserve"> professionali, oltre che a colmare le sue lacune.</w:t>
      </w:r>
    </w:p>
    <w:p w14:paraId="208D80A2"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Inoltre le aziende-clienti sono sempre più attente al ritorno dell’investimento formativo sia in termini di efficienza </w:t>
      </w:r>
      <w:r>
        <w:rPr>
          <w:sz w:val="22"/>
          <w:szCs w:val="22"/>
        </w:rPr>
        <w:t>sia</w:t>
      </w:r>
      <w:r w:rsidRPr="00DB146D">
        <w:rPr>
          <w:sz w:val="22"/>
          <w:szCs w:val="22"/>
        </w:rPr>
        <w:t xml:space="preserve"> di efficacia, anche qualora si tratti di formazione finanziata (non dimentichiamo che comunque l’azienda dovrà sempre sostenere il costo di mancata prestazione di lavoro da parte </w:t>
      </w:r>
      <w:proofErr w:type="gramStart"/>
      <w:r w:rsidRPr="00DB146D">
        <w:rPr>
          <w:sz w:val="22"/>
          <w:szCs w:val="22"/>
        </w:rPr>
        <w:t>del</w:t>
      </w:r>
      <w:proofErr w:type="gramEnd"/>
      <w:r w:rsidRPr="00DB146D">
        <w:rPr>
          <w:sz w:val="22"/>
          <w:szCs w:val="22"/>
        </w:rPr>
        <w:t xml:space="preserve"> dipendente che è impegnato in formazione). </w:t>
      </w:r>
    </w:p>
    <w:p w14:paraId="6F8C911A"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La formazione si avvicina al mondo </w:t>
      </w:r>
      <w:proofErr w:type="gramStart"/>
      <w:r w:rsidRPr="00DB146D">
        <w:rPr>
          <w:sz w:val="22"/>
          <w:szCs w:val="22"/>
        </w:rPr>
        <w:t>manageriale</w:t>
      </w:r>
      <w:proofErr w:type="gramEnd"/>
      <w:r w:rsidRPr="00DB146D">
        <w:rPr>
          <w:sz w:val="22"/>
          <w:szCs w:val="22"/>
        </w:rPr>
        <w:t xml:space="preserve">, sviluppando </w:t>
      </w:r>
      <w:proofErr w:type="spellStart"/>
      <w:r w:rsidRPr="00982E99">
        <w:rPr>
          <w:i/>
          <w:sz w:val="22"/>
          <w:szCs w:val="22"/>
        </w:rPr>
        <w:t>key</w:t>
      </w:r>
      <w:proofErr w:type="spellEnd"/>
      <w:r w:rsidRPr="00982E99">
        <w:rPr>
          <w:i/>
          <w:sz w:val="22"/>
          <w:szCs w:val="22"/>
        </w:rPr>
        <w:t xml:space="preserve"> performance </w:t>
      </w:r>
      <w:proofErr w:type="spellStart"/>
      <w:r w:rsidRPr="00982E99">
        <w:rPr>
          <w:i/>
          <w:sz w:val="22"/>
          <w:szCs w:val="22"/>
        </w:rPr>
        <w:t>index</w:t>
      </w:r>
      <w:proofErr w:type="spellEnd"/>
      <w:r w:rsidRPr="00982E99">
        <w:rPr>
          <w:i/>
          <w:sz w:val="22"/>
          <w:szCs w:val="22"/>
        </w:rPr>
        <w:t xml:space="preserve"> </w:t>
      </w:r>
      <w:r w:rsidRPr="00DB146D">
        <w:rPr>
          <w:sz w:val="22"/>
          <w:szCs w:val="22"/>
        </w:rPr>
        <w:t xml:space="preserve">(indicatori chiave di </w:t>
      </w:r>
      <w:r w:rsidRPr="00C47990">
        <w:rPr>
          <w:sz w:val="22"/>
          <w:szCs w:val="22"/>
        </w:rPr>
        <w:t>performance</w:t>
      </w:r>
      <w:r w:rsidRPr="00DB146D">
        <w:rPr>
          <w:sz w:val="22"/>
          <w:szCs w:val="22"/>
        </w:rPr>
        <w:t xml:space="preserve">) e modelli di misurazione del ritorno dell’investimento (ad es. la </w:t>
      </w:r>
      <w:proofErr w:type="spellStart"/>
      <w:r>
        <w:rPr>
          <w:i/>
          <w:sz w:val="22"/>
          <w:szCs w:val="22"/>
        </w:rPr>
        <w:t>Balanced</w:t>
      </w:r>
      <w:proofErr w:type="spellEnd"/>
      <w:r>
        <w:rPr>
          <w:i/>
          <w:sz w:val="22"/>
          <w:szCs w:val="22"/>
        </w:rPr>
        <w:t xml:space="preserve"> </w:t>
      </w:r>
      <w:proofErr w:type="spellStart"/>
      <w:r>
        <w:rPr>
          <w:i/>
          <w:sz w:val="22"/>
          <w:szCs w:val="22"/>
        </w:rPr>
        <w:t>Scorec</w:t>
      </w:r>
      <w:r w:rsidRPr="00982E99">
        <w:rPr>
          <w:i/>
          <w:sz w:val="22"/>
          <w:szCs w:val="22"/>
        </w:rPr>
        <w:t>ard</w:t>
      </w:r>
      <w:proofErr w:type="spellEnd"/>
      <w:r w:rsidRPr="00DB146D">
        <w:rPr>
          <w:sz w:val="22"/>
          <w:szCs w:val="22"/>
        </w:rPr>
        <w:t xml:space="preserve"> della formazione). Questo comporta anche un cambiamento del ruolo del formatore che diventa anche un consulente aziendale in tal senso, capace di utilizzare la formazione per sostenere i processi di cambiamento (</w:t>
      </w:r>
      <w:proofErr w:type="spellStart"/>
      <w:r w:rsidRPr="00982E99">
        <w:rPr>
          <w:i/>
          <w:sz w:val="22"/>
          <w:szCs w:val="22"/>
        </w:rPr>
        <w:t>change</w:t>
      </w:r>
      <w:proofErr w:type="spellEnd"/>
      <w:r w:rsidRPr="00982E99">
        <w:rPr>
          <w:i/>
          <w:sz w:val="22"/>
          <w:szCs w:val="22"/>
        </w:rPr>
        <w:t xml:space="preserve"> management</w:t>
      </w:r>
      <w:r w:rsidRPr="00C47990">
        <w:rPr>
          <w:sz w:val="22"/>
          <w:szCs w:val="22"/>
        </w:rPr>
        <w:t>).</w:t>
      </w:r>
    </w:p>
    <w:p w14:paraId="7EA792DE"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Tale processo sarà accompagnato dallo sviluppo di nuove metodologie didattiche legate </w:t>
      </w:r>
      <w:proofErr w:type="spellStart"/>
      <w:r w:rsidRPr="00DB146D">
        <w:rPr>
          <w:sz w:val="22"/>
          <w:szCs w:val="22"/>
        </w:rPr>
        <w:t>all’</w:t>
      </w:r>
      <w:r w:rsidRPr="00982E99">
        <w:rPr>
          <w:i/>
          <w:sz w:val="22"/>
          <w:szCs w:val="22"/>
        </w:rPr>
        <w:t>action</w:t>
      </w:r>
      <w:proofErr w:type="spellEnd"/>
      <w:r w:rsidRPr="00982E99">
        <w:rPr>
          <w:i/>
          <w:sz w:val="22"/>
          <w:szCs w:val="22"/>
        </w:rPr>
        <w:t xml:space="preserve"> </w:t>
      </w:r>
      <w:proofErr w:type="spellStart"/>
      <w:r w:rsidRPr="00982E99">
        <w:rPr>
          <w:i/>
          <w:sz w:val="22"/>
          <w:szCs w:val="22"/>
        </w:rPr>
        <w:t>learning</w:t>
      </w:r>
      <w:proofErr w:type="spellEnd"/>
      <w:r w:rsidRPr="00982E99">
        <w:rPr>
          <w:i/>
          <w:sz w:val="22"/>
          <w:szCs w:val="22"/>
        </w:rPr>
        <w:t xml:space="preserve"> </w:t>
      </w:r>
      <w:proofErr w:type="gramStart"/>
      <w:r w:rsidRPr="00DB146D">
        <w:rPr>
          <w:sz w:val="22"/>
          <w:szCs w:val="22"/>
        </w:rPr>
        <w:t>ed</w:t>
      </w:r>
      <w:proofErr w:type="gramEnd"/>
      <w:r w:rsidRPr="00DB146D">
        <w:rPr>
          <w:sz w:val="22"/>
          <w:szCs w:val="22"/>
        </w:rPr>
        <w:t xml:space="preserve"> alla creazione del gruppo,</w:t>
      </w:r>
      <w:r w:rsidRPr="00C47990">
        <w:rPr>
          <w:sz w:val="22"/>
          <w:szCs w:val="22"/>
        </w:rPr>
        <w:t xml:space="preserve"> </w:t>
      </w:r>
      <w:r>
        <w:rPr>
          <w:sz w:val="22"/>
          <w:szCs w:val="22"/>
        </w:rPr>
        <w:t>anche</w:t>
      </w:r>
      <w:r w:rsidRPr="00DB146D">
        <w:rPr>
          <w:sz w:val="22"/>
          <w:szCs w:val="22"/>
        </w:rPr>
        <w:t xml:space="preserve"> a distanza. La </w:t>
      </w:r>
      <w:proofErr w:type="gramStart"/>
      <w:r w:rsidRPr="00DB146D">
        <w:rPr>
          <w:sz w:val="22"/>
          <w:szCs w:val="22"/>
        </w:rPr>
        <w:t>modalità</w:t>
      </w:r>
      <w:proofErr w:type="gramEnd"/>
      <w:r w:rsidRPr="00DB146D">
        <w:rPr>
          <w:sz w:val="22"/>
          <w:szCs w:val="22"/>
        </w:rPr>
        <w:t xml:space="preserve"> </w:t>
      </w:r>
      <w:proofErr w:type="spellStart"/>
      <w:r w:rsidRPr="00982E99">
        <w:rPr>
          <w:i/>
          <w:sz w:val="22"/>
          <w:szCs w:val="22"/>
        </w:rPr>
        <w:t>blended</w:t>
      </w:r>
      <w:proofErr w:type="spellEnd"/>
      <w:r w:rsidRPr="00C47990">
        <w:rPr>
          <w:sz w:val="22"/>
          <w:szCs w:val="22"/>
        </w:rPr>
        <w:t xml:space="preserve"> </w:t>
      </w:r>
      <w:r w:rsidRPr="00DB146D">
        <w:rPr>
          <w:sz w:val="22"/>
          <w:szCs w:val="22"/>
        </w:rPr>
        <w:t xml:space="preserve">permette, infatti, di </w:t>
      </w:r>
      <w:r>
        <w:rPr>
          <w:sz w:val="22"/>
          <w:szCs w:val="22"/>
        </w:rPr>
        <w:t>“</w:t>
      </w:r>
      <w:proofErr w:type="spellStart"/>
      <w:r w:rsidRPr="00DB146D">
        <w:rPr>
          <w:sz w:val="22"/>
          <w:szCs w:val="22"/>
        </w:rPr>
        <w:t>customizzare</w:t>
      </w:r>
      <w:proofErr w:type="spellEnd"/>
      <w:r>
        <w:rPr>
          <w:sz w:val="22"/>
          <w:szCs w:val="22"/>
        </w:rPr>
        <w:t>”</w:t>
      </w:r>
      <w:r w:rsidRPr="00DB146D">
        <w:rPr>
          <w:sz w:val="22"/>
          <w:szCs w:val="22"/>
        </w:rPr>
        <w:t xml:space="preserve"> l’erogazione del servizio in versione </w:t>
      </w:r>
      <w:proofErr w:type="spellStart"/>
      <w:r w:rsidRPr="00982E99">
        <w:rPr>
          <w:i/>
          <w:sz w:val="22"/>
          <w:szCs w:val="22"/>
        </w:rPr>
        <w:t>one-to-one</w:t>
      </w:r>
      <w:proofErr w:type="spellEnd"/>
      <w:r>
        <w:rPr>
          <w:sz w:val="22"/>
          <w:szCs w:val="22"/>
        </w:rPr>
        <w:t xml:space="preserve"> e</w:t>
      </w:r>
      <w:r w:rsidRPr="00DB146D">
        <w:rPr>
          <w:sz w:val="22"/>
          <w:szCs w:val="22"/>
        </w:rPr>
        <w:t xml:space="preserve"> ha un sistema di monitoraggio per la valutazione delle competenze molto più sviluppato rispetto al tradizionale seminario. </w:t>
      </w:r>
    </w:p>
    <w:p w14:paraId="7DBA5BBC" w14:textId="77777777" w:rsidR="00AA0E8B" w:rsidRPr="00DB146D" w:rsidRDefault="00AA0E8B" w:rsidP="00AA0E8B">
      <w:pPr>
        <w:spacing w:line="260" w:lineRule="exact"/>
        <w:jc w:val="both"/>
        <w:rPr>
          <w:sz w:val="22"/>
          <w:szCs w:val="22"/>
        </w:rPr>
      </w:pPr>
      <w:r>
        <w:rPr>
          <w:sz w:val="22"/>
          <w:szCs w:val="22"/>
        </w:rPr>
        <w:t xml:space="preserve">   </w:t>
      </w:r>
      <w:r w:rsidRPr="00DB146D">
        <w:rPr>
          <w:sz w:val="22"/>
          <w:szCs w:val="22"/>
        </w:rPr>
        <w:t xml:space="preserve">A quanto descritto sopra, </w:t>
      </w:r>
      <w:proofErr w:type="gramStart"/>
      <w:r w:rsidRPr="00DB146D">
        <w:rPr>
          <w:sz w:val="22"/>
          <w:szCs w:val="22"/>
        </w:rPr>
        <w:t xml:space="preserve">si </w:t>
      </w:r>
      <w:proofErr w:type="gramEnd"/>
      <w:r w:rsidRPr="00DB146D">
        <w:rPr>
          <w:sz w:val="22"/>
          <w:szCs w:val="22"/>
        </w:rPr>
        <w:t>intrecciano i sistemi di monitoraggi aziendali, che permettono di avere una fotografia aggiornata dell’andamento dello sviluppo dei piani formativi, secondo una logica di ritorno degli investimenti effettuati.</w:t>
      </w:r>
    </w:p>
    <w:p w14:paraId="715E3CB2" w14:textId="77777777" w:rsidR="007E2BA9" w:rsidRDefault="007E2BA9"/>
    <w:sectPr w:rsidR="007E2BA9" w:rsidSect="007E2BA9">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F19308" w14:textId="77777777" w:rsidR="00AA0E8B" w:rsidRDefault="00AA0E8B" w:rsidP="00AA0E8B">
      <w:r>
        <w:separator/>
      </w:r>
    </w:p>
  </w:endnote>
  <w:endnote w:type="continuationSeparator" w:id="0">
    <w:p w14:paraId="1D151F10" w14:textId="77777777" w:rsidR="00AA0E8B" w:rsidRDefault="00AA0E8B" w:rsidP="00AA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HelveticaNeueLTCom-BdCn">
    <w:altName w:val="Cambria"/>
    <w:panose1 w:val="00000000000000000000"/>
    <w:charset w:val="00"/>
    <w:family w:val="auto"/>
    <w:notTrueType/>
    <w:pitch w:val="default"/>
    <w:sig w:usb0="00000003" w:usb1="00000000" w:usb2="00000000" w:usb3="00000000" w:csb0="00000001" w:csb1="00000000"/>
  </w:font>
  <w:font w:name="HelveticaNeueLTCom-Cn">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FF9D8D" w14:textId="77777777" w:rsidR="00AA0E8B" w:rsidRDefault="00AA0E8B" w:rsidP="00AA0E8B">
      <w:r>
        <w:separator/>
      </w:r>
    </w:p>
  </w:footnote>
  <w:footnote w:type="continuationSeparator" w:id="0">
    <w:p w14:paraId="0B3D10F0" w14:textId="77777777" w:rsidR="00AA0E8B" w:rsidRDefault="00AA0E8B" w:rsidP="00AA0E8B">
      <w:r>
        <w:continuationSeparator/>
      </w:r>
    </w:p>
  </w:footnote>
  <w:footnote w:id="1">
    <w:p w14:paraId="683F32F1" w14:textId="77777777" w:rsidR="00AA0E8B" w:rsidRPr="0067553B" w:rsidRDefault="00AA0E8B" w:rsidP="00AA0E8B">
      <w:pPr>
        <w:pStyle w:val="Testonotaapidipagina"/>
        <w:rPr>
          <w:lang w:val="en-US"/>
        </w:rPr>
      </w:pPr>
      <w:r>
        <w:rPr>
          <w:rStyle w:val="Rimandonotaapidipagina"/>
        </w:rPr>
        <w:footnoteRef/>
      </w:r>
      <w:r w:rsidRPr="0067553B">
        <w:rPr>
          <w:lang w:val="en-US"/>
        </w:rPr>
        <w:t xml:space="preserve"> </w:t>
      </w:r>
      <w:r w:rsidRPr="0067553B">
        <w:rPr>
          <w:color w:val="131313"/>
          <w:sz w:val="18"/>
          <w:szCs w:val="18"/>
          <w:lang w:val="en-US"/>
        </w:rPr>
        <w:t xml:space="preserve">ASTD’s 2012 </w:t>
      </w:r>
      <w:r w:rsidRPr="0067553B">
        <w:rPr>
          <w:i/>
          <w:iCs/>
          <w:color w:val="131313"/>
          <w:sz w:val="18"/>
          <w:szCs w:val="18"/>
          <w:lang w:val="en-US"/>
        </w:rPr>
        <w:t>State of the Industry Report</w:t>
      </w:r>
      <w:r>
        <w:rPr>
          <w:i/>
          <w:iCs/>
          <w:color w:val="131313"/>
          <w:sz w:val="18"/>
          <w:szCs w:val="18"/>
          <w:lang w:val="en-US"/>
        </w:rPr>
        <w:t xml:space="preserve">, </w:t>
      </w:r>
      <w:proofErr w:type="spellStart"/>
      <w:r w:rsidRPr="00D0319F">
        <w:rPr>
          <w:iCs/>
          <w:color w:val="131313"/>
          <w:sz w:val="18"/>
          <w:szCs w:val="18"/>
          <w:lang w:val="en-US"/>
        </w:rPr>
        <w:t>oggi</w:t>
      </w:r>
      <w:proofErr w:type="spellEnd"/>
      <w:r w:rsidRPr="00D0319F">
        <w:rPr>
          <w:iCs/>
          <w:color w:val="131313"/>
          <w:sz w:val="18"/>
          <w:szCs w:val="18"/>
          <w:lang w:val="en-US"/>
        </w:rPr>
        <w:t xml:space="preserve"> ATD</w:t>
      </w:r>
    </w:p>
  </w:footnote>
  <w:footnote w:id="2">
    <w:p w14:paraId="5B923565" w14:textId="77777777" w:rsidR="00AA0E8B" w:rsidRPr="00E030C7" w:rsidRDefault="00AA0E8B" w:rsidP="00AA0E8B">
      <w:pPr>
        <w:pStyle w:val="Testonotaapidipagina"/>
        <w:rPr>
          <w:lang w:val="en-GB"/>
        </w:rPr>
      </w:pPr>
      <w:r>
        <w:rPr>
          <w:rStyle w:val="Rimandonotaapidipagina"/>
        </w:rPr>
        <w:footnoteRef/>
      </w:r>
      <w:r w:rsidRPr="00E030C7">
        <w:rPr>
          <w:lang w:val="en-GB"/>
        </w:rPr>
        <w:t xml:space="preserve"> </w:t>
      </w:r>
      <w:r>
        <w:rPr>
          <w:color w:val="131313"/>
          <w:sz w:val="18"/>
          <w:szCs w:val="18"/>
          <w:lang w:val="en-US"/>
        </w:rPr>
        <w:t>ASTD’s 2013</w:t>
      </w:r>
      <w:r w:rsidRPr="0067553B">
        <w:rPr>
          <w:color w:val="131313"/>
          <w:sz w:val="18"/>
          <w:szCs w:val="18"/>
          <w:lang w:val="en-US"/>
        </w:rPr>
        <w:t xml:space="preserve"> </w:t>
      </w:r>
      <w:r w:rsidRPr="0067553B">
        <w:rPr>
          <w:i/>
          <w:iCs/>
          <w:color w:val="131313"/>
          <w:sz w:val="18"/>
          <w:szCs w:val="18"/>
          <w:lang w:val="en-US"/>
        </w:rPr>
        <w:t>State of the Industry Report</w:t>
      </w:r>
      <w:r>
        <w:rPr>
          <w:i/>
          <w:iCs/>
          <w:color w:val="131313"/>
          <w:sz w:val="18"/>
          <w:szCs w:val="18"/>
          <w:lang w:val="en-US"/>
        </w:rPr>
        <w:t xml:space="preserve">, </w:t>
      </w:r>
      <w:proofErr w:type="spellStart"/>
      <w:r w:rsidRPr="00D0319F">
        <w:rPr>
          <w:iCs/>
          <w:color w:val="131313"/>
          <w:sz w:val="18"/>
          <w:szCs w:val="18"/>
          <w:lang w:val="en-US"/>
        </w:rPr>
        <w:t>oggi</w:t>
      </w:r>
      <w:proofErr w:type="spellEnd"/>
      <w:r w:rsidRPr="00D0319F">
        <w:rPr>
          <w:iCs/>
          <w:color w:val="131313"/>
          <w:sz w:val="18"/>
          <w:szCs w:val="18"/>
          <w:lang w:val="en-US"/>
        </w:rPr>
        <w:t xml:space="preserve"> ATD</w:t>
      </w:r>
    </w:p>
  </w:footnote>
  <w:footnote w:id="3">
    <w:p w14:paraId="13174879" w14:textId="77777777" w:rsidR="00AA0E8B" w:rsidRPr="00E030C7" w:rsidRDefault="00AA0E8B" w:rsidP="00AA0E8B">
      <w:pPr>
        <w:pStyle w:val="Testonotaapidipagina"/>
        <w:rPr>
          <w:lang w:val="en-GB"/>
        </w:rPr>
      </w:pPr>
      <w:r>
        <w:rPr>
          <w:rStyle w:val="Rimandonotaapidipagina"/>
        </w:rPr>
        <w:footnoteRef/>
      </w:r>
      <w:r w:rsidRPr="00E030C7">
        <w:rPr>
          <w:lang w:val="en-GB"/>
        </w:rPr>
        <w:t xml:space="preserve"> ATD, State of the Industry 2014</w:t>
      </w:r>
    </w:p>
  </w:footnote>
  <w:footnote w:id="4">
    <w:p w14:paraId="7F440931" w14:textId="77777777" w:rsidR="00AA0E8B" w:rsidRDefault="00AA0E8B" w:rsidP="00AA0E8B">
      <w:pPr>
        <w:pStyle w:val="Testonotaapidipagina"/>
      </w:pPr>
      <w:r>
        <w:rPr>
          <w:rStyle w:val="Rimandonotaapidipagina"/>
        </w:rPr>
        <w:footnoteRef/>
      </w:r>
      <w:r>
        <w:t xml:space="preserve"> Vedi anche parte III, capitolo </w:t>
      </w:r>
      <w:proofErr w:type="gramStart"/>
      <w:r>
        <w:t>6</w:t>
      </w:r>
      <w:proofErr w:type="gramEnd"/>
      <w:r>
        <w:t xml:space="preserve">, paragrafo 3-d sui finanziamenti europei alla formazione </w:t>
      </w:r>
    </w:p>
  </w:footnote>
  <w:footnote w:id="5">
    <w:p w14:paraId="7021A8B0" w14:textId="77777777" w:rsidR="00AA0E8B" w:rsidRDefault="00AA0E8B" w:rsidP="00AA0E8B">
      <w:pPr>
        <w:pStyle w:val="Testonotaapidipagina"/>
      </w:pPr>
      <w:r>
        <w:rPr>
          <w:rStyle w:val="Rimandonotaapidipagina"/>
        </w:rPr>
        <w:footnoteRef/>
      </w:r>
      <w:r>
        <w:t xml:space="preserve"> </w:t>
      </w:r>
      <w:hyperlink r:id="rId1" w:history="1">
        <w:r w:rsidRPr="00D406E1">
          <w:rPr>
            <w:rStyle w:val="Collegamentoipertestuale"/>
          </w:rPr>
          <w:t>http://excelsior.unioncamere.net</w:t>
        </w:r>
      </w:hyperlink>
    </w:p>
    <w:p w14:paraId="56516CEF" w14:textId="77777777" w:rsidR="00AA0E8B" w:rsidRDefault="00AA0E8B" w:rsidP="00AA0E8B">
      <w:pPr>
        <w:pStyle w:val="Testonotaapidipagina"/>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465F8"/>
    <w:multiLevelType w:val="hybridMultilevel"/>
    <w:tmpl w:val="2E34EA48"/>
    <w:lvl w:ilvl="0" w:tplc="0410000F">
      <w:start w:val="1"/>
      <w:numFmt w:val="decimal"/>
      <w:lvlText w:val="%1."/>
      <w:lvlJc w:val="left"/>
      <w:pPr>
        <w:tabs>
          <w:tab w:val="num" w:pos="720"/>
        </w:tabs>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36854A66"/>
    <w:multiLevelType w:val="hybridMultilevel"/>
    <w:tmpl w:val="FEA820F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7D77205E"/>
    <w:multiLevelType w:val="hybridMultilevel"/>
    <w:tmpl w:val="FD263CFC"/>
    <w:lvl w:ilvl="0" w:tplc="0410000F">
      <w:start w:val="1"/>
      <w:numFmt w:val="decimal"/>
      <w:lvlText w:val="%1."/>
      <w:lvlJc w:val="left"/>
      <w:pPr>
        <w:ind w:left="720" w:hanging="360"/>
      </w:pPr>
      <w:rPr>
        <w:rFont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hyphenationZone w:val="283"/>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8B"/>
    <w:rsid w:val="007E2BA9"/>
    <w:rsid w:val="00A565BB"/>
    <w:rsid w:val="00AA0E8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626DB2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E8B"/>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AA0E8B"/>
    <w:pPr>
      <w:spacing w:before="100" w:beforeAutospacing="1" w:after="100" w:afterAutospacing="1"/>
    </w:pPr>
  </w:style>
  <w:style w:type="character" w:styleId="Collegamentoipertestuale">
    <w:name w:val="Hyperlink"/>
    <w:rsid w:val="00AA0E8B"/>
    <w:rPr>
      <w:color w:val="0000FF"/>
      <w:u w:val="single"/>
    </w:rPr>
  </w:style>
  <w:style w:type="paragraph" w:styleId="Testonotaapidipagina">
    <w:name w:val="footnote text"/>
    <w:aliases w:val="stile 1,stile 1 Carattere Carattere Carattere,stile 1 Carattere"/>
    <w:basedOn w:val="Normale"/>
    <w:link w:val="TestonotaapidipaginaCarattere"/>
    <w:rsid w:val="00AA0E8B"/>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AA0E8B"/>
    <w:rPr>
      <w:rFonts w:ascii="Times New Roman" w:eastAsia="Times New Roman" w:hAnsi="Times New Roman" w:cs="Times New Roman"/>
      <w:sz w:val="20"/>
      <w:szCs w:val="20"/>
    </w:rPr>
  </w:style>
  <w:style w:type="character" w:styleId="Rimandonotaapidipagina">
    <w:name w:val="footnote reference"/>
    <w:rsid w:val="00AA0E8B"/>
    <w:rPr>
      <w:vertAlign w:val="superscript"/>
    </w:rPr>
  </w:style>
  <w:style w:type="table" w:styleId="Sfondochiaro-Colore1">
    <w:name w:val="Light Shading Accent 1"/>
    <w:basedOn w:val="Tabellanormale"/>
    <w:uiPriority w:val="60"/>
    <w:qFormat/>
    <w:rsid w:val="00AA0E8B"/>
    <w:rPr>
      <w:rFonts w:ascii="Times New Roman" w:eastAsia="Times New Roman" w:hAnsi="Times New Roman" w:cs="Times New Roman"/>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stofumetto">
    <w:name w:val="Balloon Text"/>
    <w:basedOn w:val="Normale"/>
    <w:link w:val="TestofumettoCarattere"/>
    <w:uiPriority w:val="99"/>
    <w:semiHidden/>
    <w:unhideWhenUsed/>
    <w:rsid w:val="00AA0E8B"/>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AA0E8B"/>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0E8B"/>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AA0E8B"/>
    <w:pPr>
      <w:spacing w:before="100" w:beforeAutospacing="1" w:after="100" w:afterAutospacing="1"/>
    </w:pPr>
  </w:style>
  <w:style w:type="character" w:styleId="Collegamentoipertestuale">
    <w:name w:val="Hyperlink"/>
    <w:rsid w:val="00AA0E8B"/>
    <w:rPr>
      <w:color w:val="0000FF"/>
      <w:u w:val="single"/>
    </w:rPr>
  </w:style>
  <w:style w:type="paragraph" w:styleId="Testonotaapidipagina">
    <w:name w:val="footnote text"/>
    <w:aliases w:val="stile 1,stile 1 Carattere Carattere Carattere,stile 1 Carattere"/>
    <w:basedOn w:val="Normale"/>
    <w:link w:val="TestonotaapidipaginaCarattere"/>
    <w:rsid w:val="00AA0E8B"/>
    <w:rPr>
      <w:sz w:val="20"/>
      <w:szCs w:val="20"/>
    </w:rPr>
  </w:style>
  <w:style w:type="character" w:customStyle="1" w:styleId="TestonotaapidipaginaCarattere">
    <w:name w:val="Testo nota a piè di pagina Carattere"/>
    <w:aliases w:val="stile 1 Carattere1,stile 1 Carattere Carattere Carattere Carattere,stile 1 Carattere Carattere"/>
    <w:basedOn w:val="Caratterepredefinitoparagrafo"/>
    <w:link w:val="Testonotaapidipagina"/>
    <w:rsid w:val="00AA0E8B"/>
    <w:rPr>
      <w:rFonts w:ascii="Times New Roman" w:eastAsia="Times New Roman" w:hAnsi="Times New Roman" w:cs="Times New Roman"/>
      <w:sz w:val="20"/>
      <w:szCs w:val="20"/>
    </w:rPr>
  </w:style>
  <w:style w:type="character" w:styleId="Rimandonotaapidipagina">
    <w:name w:val="footnote reference"/>
    <w:rsid w:val="00AA0E8B"/>
    <w:rPr>
      <w:vertAlign w:val="superscript"/>
    </w:rPr>
  </w:style>
  <w:style w:type="table" w:styleId="Sfondochiaro-Colore1">
    <w:name w:val="Light Shading Accent 1"/>
    <w:basedOn w:val="Tabellanormale"/>
    <w:uiPriority w:val="60"/>
    <w:qFormat/>
    <w:rsid w:val="00AA0E8B"/>
    <w:rPr>
      <w:rFonts w:ascii="Times New Roman" w:eastAsia="Times New Roman" w:hAnsi="Times New Roman" w:cs="Times New Roman"/>
      <w:color w:val="365F91" w:themeColor="accent1" w:themeShade="BF"/>
      <w:sz w:val="20"/>
      <w:szCs w:val="20"/>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Testofumetto">
    <w:name w:val="Balloon Text"/>
    <w:basedOn w:val="Normale"/>
    <w:link w:val="TestofumettoCarattere"/>
    <w:uiPriority w:val="99"/>
    <w:semiHidden/>
    <w:unhideWhenUsed/>
    <w:rsid w:val="00AA0E8B"/>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AA0E8B"/>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excelsior.unioncamere.ne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4952</Words>
  <Characters>28233</Characters>
  <Application>Microsoft Macintosh Word</Application>
  <DocSecurity>0</DocSecurity>
  <Lines>235</Lines>
  <Paragraphs>66</Paragraphs>
  <ScaleCrop>false</ScaleCrop>
  <Company/>
  <LinksUpToDate>false</LinksUpToDate>
  <CharactersWithSpaces>33119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2</cp:revision>
  <dcterms:created xsi:type="dcterms:W3CDTF">2015-10-28T08:53:00Z</dcterms:created>
  <dcterms:modified xsi:type="dcterms:W3CDTF">2015-10-29T10:08:00Z</dcterms:modified>
</cp:coreProperties>
</file>