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13AB9C" w14:textId="77777777" w:rsidR="00365860" w:rsidRPr="00924E2B" w:rsidRDefault="00365860" w:rsidP="0036586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</w:rPr>
      </w:pPr>
      <w:proofErr w:type="gramStart"/>
      <w:r w:rsidRPr="00924E2B">
        <w:rPr>
          <w:rFonts w:ascii="Arial" w:hAnsi="Arial" w:cs="Arial"/>
          <w:b/>
        </w:rPr>
        <w:t>Quaglino</w:t>
      </w:r>
      <w:proofErr w:type="gramEnd"/>
      <w:r w:rsidRPr="00924E2B">
        <w:rPr>
          <w:rFonts w:ascii="Arial" w:hAnsi="Arial" w:cs="Arial"/>
          <w:b/>
        </w:rPr>
        <w:t>, Fare formazione</w:t>
      </w:r>
    </w:p>
    <w:p w14:paraId="78AB651F" w14:textId="77777777" w:rsidR="00365860" w:rsidRPr="00365860" w:rsidRDefault="00365860" w:rsidP="00365860">
      <w:pPr>
        <w:spacing w:line="260" w:lineRule="exact"/>
        <w:jc w:val="both"/>
        <w:rPr>
          <w:rFonts w:ascii="Arial" w:hAnsi="Arial" w:cs="Arial"/>
          <w:b/>
        </w:rPr>
      </w:pPr>
    </w:p>
    <w:p w14:paraId="62535437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   Gian Piero Quaglino è ordinario di Psicologia della formazione e presidente della facoltà di Psicologia all’Università </w:t>
      </w:r>
      <w:proofErr w:type="gramStart"/>
      <w:r w:rsidRPr="00365860">
        <w:rPr>
          <w:sz w:val="22"/>
          <w:szCs w:val="22"/>
        </w:rPr>
        <w:t>di</w:t>
      </w:r>
      <w:proofErr w:type="gramEnd"/>
      <w:r w:rsidRPr="00365860">
        <w:rPr>
          <w:sz w:val="22"/>
          <w:szCs w:val="22"/>
        </w:rPr>
        <w:t xml:space="preserve"> Torino. </w:t>
      </w:r>
      <w:proofErr w:type="gramStart"/>
      <w:r w:rsidRPr="00365860">
        <w:rPr>
          <w:sz w:val="22"/>
          <w:szCs w:val="22"/>
        </w:rPr>
        <w:t>E’ autore di molteplici libri, tra cui “Fare formazione</w:t>
      </w:r>
      <w:proofErr w:type="gramEnd"/>
      <w:r w:rsidRPr="00365860">
        <w:rPr>
          <w:sz w:val="22"/>
          <w:szCs w:val="22"/>
        </w:rPr>
        <w:t xml:space="preserve">. </w:t>
      </w:r>
      <w:proofErr w:type="gramStart"/>
      <w:r w:rsidRPr="00365860">
        <w:rPr>
          <w:sz w:val="22"/>
          <w:szCs w:val="22"/>
        </w:rPr>
        <w:t>I fondamenti della formazione e i nuovi traguardi”</w:t>
      </w:r>
      <w:proofErr w:type="gramEnd"/>
      <w:r w:rsidRPr="00365860">
        <w:rPr>
          <w:rStyle w:val="Rimandonotaapidipagina"/>
          <w:sz w:val="22"/>
          <w:szCs w:val="22"/>
        </w:rPr>
        <w:footnoteReference w:id="1"/>
      </w:r>
      <w:proofErr w:type="gramStart"/>
      <w:r w:rsidRPr="00365860">
        <w:rPr>
          <w:sz w:val="22"/>
          <w:szCs w:val="22"/>
        </w:rPr>
        <w:t xml:space="preserve">, </w:t>
      </w:r>
      <w:proofErr w:type="gramEnd"/>
      <w:r w:rsidRPr="00365860">
        <w:rPr>
          <w:sz w:val="22"/>
          <w:szCs w:val="22"/>
        </w:rPr>
        <w:t xml:space="preserve">testo che ha accompagnato molti studiosi e professionisti nel campo delle attività formative. </w:t>
      </w:r>
    </w:p>
    <w:p w14:paraId="31D2A8DC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Nell’ultima edizione di questa pubblicazione, Quaglino ha </w:t>
      </w:r>
      <w:proofErr w:type="gramStart"/>
      <w:r w:rsidRPr="00365860">
        <w:rPr>
          <w:sz w:val="22"/>
          <w:szCs w:val="22"/>
        </w:rPr>
        <w:t>aggiunto anche</w:t>
      </w:r>
      <w:proofErr w:type="gramEnd"/>
      <w:r w:rsidRPr="00365860">
        <w:rPr>
          <w:sz w:val="22"/>
          <w:szCs w:val="22"/>
        </w:rPr>
        <w:t xml:space="preserve"> una post-fazione in forma di “manifesto per una nuova formazione”.</w:t>
      </w:r>
    </w:p>
    <w:p w14:paraId="79A4C274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5CFADA0E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bookmarkStart w:id="0" w:name="_GoBack"/>
      <w:bookmarkEnd w:id="0"/>
    </w:p>
    <w:p w14:paraId="1E8C4539" w14:textId="77777777" w:rsidR="00365860" w:rsidRPr="00365860" w:rsidRDefault="00365860" w:rsidP="00365860">
      <w:pPr>
        <w:spacing w:line="260" w:lineRule="exact"/>
        <w:jc w:val="both"/>
        <w:rPr>
          <w:rFonts w:ascii="Arial" w:hAnsi="Arial" w:cs="Arial"/>
          <w:b/>
        </w:rPr>
      </w:pPr>
    </w:p>
    <w:p w14:paraId="06485209" w14:textId="77777777" w:rsidR="00365860" w:rsidRPr="00365860" w:rsidRDefault="00365860" w:rsidP="00365860">
      <w:pPr>
        <w:numPr>
          <w:ilvl w:val="0"/>
          <w:numId w:val="1"/>
        </w:numPr>
        <w:spacing w:line="260" w:lineRule="exact"/>
        <w:jc w:val="both"/>
        <w:rPr>
          <w:rFonts w:ascii="Arial" w:hAnsi="Arial" w:cs="Arial"/>
          <w:b/>
          <w:lang w:val="en-GB"/>
        </w:rPr>
      </w:pPr>
      <w:proofErr w:type="spellStart"/>
      <w:r w:rsidRPr="00365860">
        <w:rPr>
          <w:rFonts w:ascii="Arial" w:hAnsi="Arial" w:cs="Arial"/>
          <w:b/>
          <w:lang w:val="en-GB"/>
        </w:rPr>
        <w:t>Alcuni</w:t>
      </w:r>
      <w:proofErr w:type="spellEnd"/>
      <w:r w:rsidRPr="00365860">
        <w:rPr>
          <w:rFonts w:ascii="Arial" w:hAnsi="Arial" w:cs="Arial"/>
          <w:b/>
          <w:lang w:val="en-GB"/>
        </w:rPr>
        <w:t xml:space="preserve"> </w:t>
      </w:r>
      <w:proofErr w:type="spellStart"/>
      <w:r w:rsidRPr="00365860">
        <w:rPr>
          <w:rFonts w:ascii="Arial" w:hAnsi="Arial" w:cs="Arial"/>
          <w:b/>
          <w:lang w:val="en-GB"/>
        </w:rPr>
        <w:t>autori</w:t>
      </w:r>
      <w:proofErr w:type="spellEnd"/>
      <w:r w:rsidRPr="00365860">
        <w:rPr>
          <w:rFonts w:ascii="Arial" w:hAnsi="Arial" w:cs="Arial"/>
          <w:b/>
          <w:lang w:val="en-GB"/>
        </w:rPr>
        <w:t xml:space="preserve">, Burgoyne, Stuart, Knowles, </w:t>
      </w:r>
      <w:proofErr w:type="spellStart"/>
      <w:r w:rsidRPr="00365860">
        <w:rPr>
          <w:rFonts w:ascii="Arial" w:hAnsi="Arial" w:cs="Arial"/>
          <w:b/>
          <w:lang w:val="en-GB"/>
        </w:rPr>
        <w:t>Revans</w:t>
      </w:r>
      <w:proofErr w:type="spellEnd"/>
      <w:r w:rsidRPr="00365860">
        <w:rPr>
          <w:rFonts w:ascii="Arial" w:hAnsi="Arial" w:cs="Arial"/>
          <w:b/>
          <w:lang w:val="en-GB"/>
        </w:rPr>
        <w:t xml:space="preserve">, ASTD, </w:t>
      </w:r>
      <w:proofErr w:type="spellStart"/>
      <w:r w:rsidRPr="00365860">
        <w:rPr>
          <w:rFonts w:ascii="Arial" w:hAnsi="Arial" w:cs="Arial"/>
          <w:b/>
          <w:lang w:val="en-GB"/>
        </w:rPr>
        <w:t>CorpU</w:t>
      </w:r>
      <w:proofErr w:type="spellEnd"/>
      <w:r w:rsidRPr="00365860">
        <w:rPr>
          <w:rFonts w:ascii="Arial" w:hAnsi="Arial" w:cs="Arial"/>
          <w:b/>
          <w:lang w:val="en-GB"/>
        </w:rPr>
        <w:t xml:space="preserve"> </w:t>
      </w:r>
    </w:p>
    <w:p w14:paraId="1F7FCAD6" w14:textId="77777777" w:rsidR="00365860" w:rsidRPr="00365860" w:rsidRDefault="00365860" w:rsidP="00365860">
      <w:pPr>
        <w:spacing w:line="260" w:lineRule="exact"/>
        <w:ind w:left="360"/>
        <w:jc w:val="both"/>
        <w:rPr>
          <w:rFonts w:ascii="Arial" w:hAnsi="Arial" w:cs="Arial"/>
          <w:b/>
          <w:lang w:val="en-GB"/>
        </w:rPr>
      </w:pPr>
    </w:p>
    <w:p w14:paraId="049523A0" w14:textId="77777777" w:rsidR="00365860" w:rsidRPr="00365860" w:rsidRDefault="00365860" w:rsidP="00365860">
      <w:pPr>
        <w:spacing w:line="260" w:lineRule="exact"/>
        <w:jc w:val="both"/>
        <w:rPr>
          <w:b/>
          <w:sz w:val="22"/>
          <w:szCs w:val="22"/>
        </w:rPr>
      </w:pPr>
      <w:r w:rsidRPr="00365860">
        <w:rPr>
          <w:b/>
          <w:sz w:val="22"/>
          <w:szCs w:val="22"/>
          <w:lang w:val="en-GB"/>
        </w:rPr>
        <w:t xml:space="preserve">    </w:t>
      </w:r>
      <w:proofErr w:type="spellStart"/>
      <w:r w:rsidRPr="00365860">
        <w:rPr>
          <w:b/>
          <w:sz w:val="22"/>
          <w:szCs w:val="22"/>
        </w:rPr>
        <w:t>Burgoyne</w:t>
      </w:r>
      <w:proofErr w:type="spellEnd"/>
      <w:r w:rsidRPr="00365860">
        <w:rPr>
          <w:b/>
          <w:sz w:val="22"/>
          <w:szCs w:val="22"/>
        </w:rPr>
        <w:t xml:space="preserve"> e Stuart</w:t>
      </w:r>
    </w:p>
    <w:p w14:paraId="68846739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Il modello di </w:t>
      </w:r>
      <w:proofErr w:type="spellStart"/>
      <w:r w:rsidRPr="00365860">
        <w:rPr>
          <w:sz w:val="22"/>
          <w:szCs w:val="22"/>
        </w:rPr>
        <w:t>Burgoyne</w:t>
      </w:r>
      <w:proofErr w:type="spellEnd"/>
      <w:r w:rsidRPr="00365860">
        <w:rPr>
          <w:sz w:val="22"/>
          <w:szCs w:val="22"/>
        </w:rPr>
        <w:t xml:space="preserve"> e Stuart, citato anche dal Quaglino, è considerato interessante </w:t>
      </w:r>
      <w:proofErr w:type="gramStart"/>
      <w:r w:rsidRPr="00365860">
        <w:rPr>
          <w:sz w:val="22"/>
          <w:szCs w:val="22"/>
        </w:rPr>
        <w:t>in quanto</w:t>
      </w:r>
      <w:proofErr w:type="gramEnd"/>
      <w:r w:rsidRPr="00365860">
        <w:rPr>
          <w:sz w:val="22"/>
          <w:szCs w:val="22"/>
        </w:rPr>
        <w:t xml:space="preserve"> identifica otto diversi modelli di apprendimento dell’adulto. Essi sono:</w:t>
      </w:r>
    </w:p>
    <w:p w14:paraId="3A78D517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4893B5F6" w14:textId="77777777" w:rsidR="00365860" w:rsidRPr="00365860" w:rsidRDefault="00365860" w:rsidP="00365860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365860">
        <w:rPr>
          <w:b/>
          <w:sz w:val="22"/>
          <w:szCs w:val="22"/>
        </w:rPr>
        <w:t>Apprendimento per condizionamento</w:t>
      </w:r>
      <w:r w:rsidRPr="00365860">
        <w:rPr>
          <w:sz w:val="22"/>
          <w:szCs w:val="22"/>
        </w:rPr>
        <w:t>, secondo lo schema classico dello stimolo-risposta (Pavlov);</w:t>
      </w:r>
    </w:p>
    <w:p w14:paraId="65B879B4" w14:textId="77777777" w:rsidR="00365860" w:rsidRPr="00365860" w:rsidRDefault="00365860" w:rsidP="00365860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365860">
        <w:rPr>
          <w:b/>
          <w:sz w:val="22"/>
          <w:szCs w:val="22"/>
        </w:rPr>
        <w:t>Apprendimento per aggiustamento</w:t>
      </w:r>
      <w:r w:rsidRPr="00365860">
        <w:rPr>
          <w:sz w:val="22"/>
          <w:szCs w:val="22"/>
        </w:rPr>
        <w:t xml:space="preserve">, ossia finalizzato a portare cambiamenti, </w:t>
      </w:r>
      <w:proofErr w:type="gramStart"/>
      <w:r w:rsidRPr="00365860">
        <w:rPr>
          <w:sz w:val="22"/>
          <w:szCs w:val="22"/>
        </w:rPr>
        <w:t>ad</w:t>
      </w:r>
      <w:proofErr w:type="gramEnd"/>
      <w:r w:rsidRPr="00365860">
        <w:rPr>
          <w:sz w:val="22"/>
          <w:szCs w:val="22"/>
        </w:rPr>
        <w:t xml:space="preserve"> “aggiustare” singole parti;</w:t>
      </w:r>
    </w:p>
    <w:p w14:paraId="7121D856" w14:textId="77777777" w:rsidR="00365860" w:rsidRPr="00365860" w:rsidRDefault="00365860" w:rsidP="00365860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365860">
        <w:rPr>
          <w:b/>
          <w:sz w:val="22"/>
          <w:szCs w:val="22"/>
        </w:rPr>
        <w:t xml:space="preserve">Apprendimento per passaggio </w:t>
      </w:r>
      <w:proofErr w:type="gramStart"/>
      <w:r w:rsidRPr="00365860">
        <w:rPr>
          <w:b/>
          <w:sz w:val="22"/>
          <w:szCs w:val="22"/>
        </w:rPr>
        <w:t xml:space="preserve">di </w:t>
      </w:r>
      <w:proofErr w:type="gramEnd"/>
      <w:r w:rsidRPr="00365860">
        <w:rPr>
          <w:b/>
          <w:sz w:val="22"/>
          <w:szCs w:val="22"/>
        </w:rPr>
        <w:t>informazioni</w:t>
      </w:r>
      <w:r w:rsidRPr="00365860">
        <w:rPr>
          <w:sz w:val="22"/>
          <w:szCs w:val="22"/>
        </w:rPr>
        <w:t>, acquisizione e salvataggio delle informazioni;</w:t>
      </w:r>
    </w:p>
    <w:p w14:paraId="3A75554D" w14:textId="77777777" w:rsidR="00365860" w:rsidRPr="00365860" w:rsidRDefault="00365860" w:rsidP="00365860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365860">
        <w:rPr>
          <w:b/>
          <w:sz w:val="22"/>
          <w:szCs w:val="22"/>
        </w:rPr>
        <w:t>Apprendimento cibernetico</w:t>
      </w:r>
      <w:r w:rsidRPr="00365860">
        <w:rPr>
          <w:sz w:val="22"/>
          <w:szCs w:val="22"/>
        </w:rPr>
        <w:t>, l’adulto diventa soggetto attivo della fase di apprendimento;</w:t>
      </w:r>
    </w:p>
    <w:p w14:paraId="425640C4" w14:textId="77777777" w:rsidR="00365860" w:rsidRPr="00365860" w:rsidRDefault="00365860" w:rsidP="00365860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365860">
        <w:rPr>
          <w:b/>
          <w:sz w:val="22"/>
          <w:szCs w:val="22"/>
        </w:rPr>
        <w:t>Apprendimento cognitivo</w:t>
      </w:r>
      <w:r w:rsidRPr="00365860">
        <w:rPr>
          <w:sz w:val="22"/>
          <w:szCs w:val="22"/>
        </w:rPr>
        <w:t>, il soggetto acquisisce informazioni e le elabora secondo un processo guidato dalle proprie mappe individuali;</w:t>
      </w:r>
    </w:p>
    <w:p w14:paraId="01FF7839" w14:textId="77777777" w:rsidR="00365860" w:rsidRPr="00365860" w:rsidRDefault="00365860" w:rsidP="00365860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365860">
        <w:rPr>
          <w:b/>
          <w:sz w:val="22"/>
          <w:szCs w:val="22"/>
        </w:rPr>
        <w:t>Apprendimento esperienziale</w:t>
      </w:r>
      <w:r w:rsidRPr="00365860">
        <w:rPr>
          <w:sz w:val="22"/>
          <w:szCs w:val="22"/>
        </w:rPr>
        <w:t>,</w:t>
      </w:r>
      <w:proofErr w:type="gramStart"/>
      <w:r w:rsidRPr="00365860">
        <w:rPr>
          <w:sz w:val="22"/>
          <w:szCs w:val="22"/>
        </w:rPr>
        <w:t xml:space="preserve">  </w:t>
      </w:r>
      <w:proofErr w:type="gramEnd"/>
      <w:r w:rsidRPr="00365860">
        <w:rPr>
          <w:sz w:val="22"/>
          <w:szCs w:val="22"/>
        </w:rPr>
        <w:t xml:space="preserve">ossia il soggetto impara sviluppando autonomia; </w:t>
      </w:r>
    </w:p>
    <w:p w14:paraId="40B3CE17" w14:textId="77777777" w:rsidR="00365860" w:rsidRPr="00365860" w:rsidRDefault="00365860" w:rsidP="00365860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365860">
        <w:rPr>
          <w:b/>
          <w:sz w:val="22"/>
          <w:szCs w:val="22"/>
        </w:rPr>
        <w:t>Apprendimento per influenzamento</w:t>
      </w:r>
      <w:r w:rsidRPr="00365860">
        <w:rPr>
          <w:sz w:val="22"/>
          <w:szCs w:val="22"/>
        </w:rPr>
        <w:t>, il soggetto migliora perché influenzato dall’ambiente in cui vive;</w:t>
      </w:r>
    </w:p>
    <w:p w14:paraId="4CF628B7" w14:textId="77777777" w:rsidR="00365860" w:rsidRPr="00365860" w:rsidRDefault="00365860" w:rsidP="00365860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365860">
        <w:rPr>
          <w:b/>
          <w:sz w:val="22"/>
          <w:szCs w:val="22"/>
        </w:rPr>
        <w:t>Apprendimento pragmatico</w:t>
      </w:r>
      <w:r w:rsidRPr="00365860">
        <w:rPr>
          <w:sz w:val="22"/>
          <w:szCs w:val="22"/>
        </w:rPr>
        <w:t>, il soggetto impara facendo.</w:t>
      </w:r>
    </w:p>
    <w:p w14:paraId="1A84D597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7502C4EA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proofErr w:type="gramStart"/>
      <w:r w:rsidRPr="00365860">
        <w:rPr>
          <w:sz w:val="22"/>
          <w:szCs w:val="22"/>
        </w:rPr>
        <w:t>Questa modello teorico</w:t>
      </w:r>
      <w:proofErr w:type="gramEnd"/>
      <w:r w:rsidRPr="00365860">
        <w:rPr>
          <w:sz w:val="22"/>
          <w:szCs w:val="22"/>
        </w:rPr>
        <w:t xml:space="preserve"> è ancora ampiamente diffuso ed utilizzato tra gli esperti e professionisti di formazione. </w:t>
      </w:r>
    </w:p>
    <w:p w14:paraId="064934A8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4175B705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5BFB182D" w14:textId="77777777" w:rsidR="00365860" w:rsidRPr="00365860" w:rsidRDefault="00365860" w:rsidP="00365860">
      <w:pPr>
        <w:spacing w:line="260" w:lineRule="exact"/>
        <w:jc w:val="both"/>
        <w:rPr>
          <w:b/>
          <w:sz w:val="22"/>
          <w:szCs w:val="22"/>
        </w:rPr>
      </w:pPr>
      <w:r w:rsidRPr="00365860">
        <w:rPr>
          <w:b/>
          <w:sz w:val="22"/>
          <w:szCs w:val="22"/>
        </w:rPr>
        <w:t xml:space="preserve">    </w:t>
      </w:r>
      <w:proofErr w:type="spellStart"/>
      <w:r w:rsidRPr="00365860">
        <w:rPr>
          <w:b/>
          <w:sz w:val="22"/>
          <w:szCs w:val="22"/>
        </w:rPr>
        <w:t>Knowles</w:t>
      </w:r>
      <w:proofErr w:type="spellEnd"/>
    </w:p>
    <w:p w14:paraId="4ADB5CA0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L’americano Malcolm </w:t>
      </w:r>
      <w:proofErr w:type="spellStart"/>
      <w:r w:rsidRPr="00365860">
        <w:rPr>
          <w:sz w:val="22"/>
          <w:szCs w:val="22"/>
        </w:rPr>
        <w:t>Knowles</w:t>
      </w:r>
      <w:proofErr w:type="spellEnd"/>
      <w:r w:rsidRPr="00365860">
        <w:rPr>
          <w:sz w:val="22"/>
          <w:szCs w:val="22"/>
        </w:rPr>
        <w:t xml:space="preserve">, studioso di </w:t>
      </w:r>
      <w:proofErr w:type="spellStart"/>
      <w:r w:rsidRPr="00365860">
        <w:rPr>
          <w:sz w:val="22"/>
          <w:szCs w:val="22"/>
        </w:rPr>
        <w:t>Andragogia</w:t>
      </w:r>
      <w:proofErr w:type="spellEnd"/>
      <w:r w:rsidRPr="00365860">
        <w:rPr>
          <w:sz w:val="22"/>
          <w:szCs w:val="22"/>
        </w:rPr>
        <w:t xml:space="preserve">, divenne famoso per la sua teoria dell’apprendimento degli adulti, che pubblicò nel libro “The </w:t>
      </w:r>
      <w:proofErr w:type="spellStart"/>
      <w:r w:rsidRPr="00365860">
        <w:rPr>
          <w:sz w:val="22"/>
          <w:szCs w:val="22"/>
        </w:rPr>
        <w:t>Adult</w:t>
      </w:r>
      <w:proofErr w:type="spellEnd"/>
      <w:r w:rsidRPr="00365860">
        <w:rPr>
          <w:sz w:val="22"/>
          <w:szCs w:val="22"/>
        </w:rPr>
        <w:t xml:space="preserve"> </w:t>
      </w:r>
      <w:proofErr w:type="spellStart"/>
      <w:r w:rsidRPr="00365860">
        <w:rPr>
          <w:sz w:val="22"/>
          <w:szCs w:val="22"/>
        </w:rPr>
        <w:t>Learner</w:t>
      </w:r>
      <w:proofErr w:type="spellEnd"/>
      <w:r w:rsidRPr="00365860">
        <w:rPr>
          <w:sz w:val="22"/>
          <w:szCs w:val="22"/>
        </w:rPr>
        <w:t>”.</w:t>
      </w:r>
    </w:p>
    <w:p w14:paraId="5C7D3DA4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proofErr w:type="spellStart"/>
      <w:r w:rsidRPr="00365860">
        <w:rPr>
          <w:sz w:val="22"/>
          <w:szCs w:val="22"/>
        </w:rPr>
        <w:t>Knowles</w:t>
      </w:r>
      <w:proofErr w:type="spellEnd"/>
      <w:r w:rsidRPr="00365860">
        <w:rPr>
          <w:sz w:val="22"/>
          <w:szCs w:val="22"/>
        </w:rPr>
        <w:t xml:space="preserve"> individua sei presupposti nell’apprendimento degli adulti:</w:t>
      </w:r>
    </w:p>
    <w:p w14:paraId="4BB29C69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1E274E33" w14:textId="77777777" w:rsidR="00365860" w:rsidRPr="00365860" w:rsidRDefault="00365860" w:rsidP="00365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Il bisogno di conoscere;</w:t>
      </w:r>
    </w:p>
    <w:p w14:paraId="64EFBD23" w14:textId="77777777" w:rsidR="00365860" w:rsidRPr="00365860" w:rsidRDefault="00365860" w:rsidP="00365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Il concetto di sé;</w:t>
      </w:r>
    </w:p>
    <w:p w14:paraId="5C37D3E9" w14:textId="77777777" w:rsidR="00365860" w:rsidRPr="00365860" w:rsidRDefault="00365860" w:rsidP="00365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Il ruolo dell’esperienza;</w:t>
      </w:r>
    </w:p>
    <w:p w14:paraId="64C97692" w14:textId="77777777" w:rsidR="00365860" w:rsidRPr="00365860" w:rsidRDefault="00365860" w:rsidP="00365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La disponibilità ad apprendere;</w:t>
      </w:r>
    </w:p>
    <w:p w14:paraId="1FD6B295" w14:textId="77777777" w:rsidR="00365860" w:rsidRPr="00365860" w:rsidRDefault="00365860" w:rsidP="00365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L’orientamento verso l’apprendimento;</w:t>
      </w:r>
    </w:p>
    <w:p w14:paraId="0A8DB50E" w14:textId="77777777" w:rsidR="00365860" w:rsidRPr="00365860" w:rsidRDefault="00365860" w:rsidP="00365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La motivazione.</w:t>
      </w:r>
    </w:p>
    <w:p w14:paraId="79679307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1580758C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Gli elementi fondamentali del modello sono:</w:t>
      </w:r>
    </w:p>
    <w:p w14:paraId="7C2A3507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7A413E15" w14:textId="77777777" w:rsidR="00365860" w:rsidRPr="00365860" w:rsidRDefault="00365860" w:rsidP="00365860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Gli obiettivi;</w:t>
      </w:r>
    </w:p>
    <w:p w14:paraId="33F7A53D" w14:textId="77777777" w:rsidR="00365860" w:rsidRPr="00365860" w:rsidRDefault="00365860" w:rsidP="00365860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Le differenze individuali;</w:t>
      </w:r>
    </w:p>
    <w:p w14:paraId="3E8AE782" w14:textId="77777777" w:rsidR="00365860" w:rsidRPr="00365860" w:rsidRDefault="00365860" w:rsidP="00365860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Ambiente sociale,</w:t>
      </w:r>
    </w:p>
    <w:p w14:paraId="71E0319A" w14:textId="77777777" w:rsidR="00365860" w:rsidRPr="00365860" w:rsidRDefault="00365860" w:rsidP="00365860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Le differenze situazionali;</w:t>
      </w:r>
    </w:p>
    <w:p w14:paraId="40DBD6CF" w14:textId="77777777" w:rsidR="00365860" w:rsidRPr="00365860" w:rsidRDefault="00365860" w:rsidP="00365860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Modelli di apprendimento diversi;</w:t>
      </w:r>
    </w:p>
    <w:p w14:paraId="4CCC9266" w14:textId="77777777" w:rsidR="00365860" w:rsidRPr="00365860" w:rsidRDefault="00365860" w:rsidP="00365860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I bisogni individuali;</w:t>
      </w:r>
    </w:p>
    <w:p w14:paraId="5F192CAB" w14:textId="77777777" w:rsidR="00365860" w:rsidRPr="00365860" w:rsidRDefault="00365860" w:rsidP="00365860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lastRenderedPageBreak/>
        <w:t>Ambiente istituzionale;</w:t>
      </w:r>
    </w:p>
    <w:p w14:paraId="63D37F40" w14:textId="77777777" w:rsidR="00365860" w:rsidRPr="00365860" w:rsidRDefault="00365860" w:rsidP="00365860">
      <w:pPr>
        <w:numPr>
          <w:ilvl w:val="0"/>
          <w:numId w:val="4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Le differenze soggettive.</w:t>
      </w:r>
    </w:p>
    <w:p w14:paraId="43C5A001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0F981378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Di seguito trovate uno schema che illustra il modello di </w:t>
      </w:r>
      <w:proofErr w:type="spellStart"/>
      <w:r w:rsidRPr="00365860">
        <w:rPr>
          <w:sz w:val="22"/>
          <w:szCs w:val="22"/>
        </w:rPr>
        <w:t>Andragogia</w:t>
      </w:r>
      <w:proofErr w:type="spellEnd"/>
      <w:r w:rsidRPr="00365860">
        <w:rPr>
          <w:sz w:val="22"/>
          <w:szCs w:val="22"/>
        </w:rPr>
        <w:t xml:space="preserve"> sviluppato da </w:t>
      </w:r>
      <w:proofErr w:type="spellStart"/>
      <w:r w:rsidRPr="00365860">
        <w:rPr>
          <w:sz w:val="22"/>
          <w:szCs w:val="22"/>
        </w:rPr>
        <w:t>Knowles</w:t>
      </w:r>
      <w:proofErr w:type="spellEnd"/>
      <w:r w:rsidRPr="00365860">
        <w:rPr>
          <w:sz w:val="22"/>
          <w:szCs w:val="22"/>
        </w:rPr>
        <w:t>.</w:t>
      </w:r>
    </w:p>
    <w:p w14:paraId="582F928C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3415E84A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477D3A25" w14:textId="77777777" w:rsidR="00365860" w:rsidRPr="00365860" w:rsidRDefault="00365860" w:rsidP="00365860">
      <w:pPr>
        <w:rPr>
          <w:rFonts w:ascii="Arial" w:hAnsi="Arial" w:cs="Arial"/>
          <w:b/>
          <w:sz w:val="20"/>
          <w:szCs w:val="20"/>
        </w:rPr>
      </w:pPr>
      <w:proofErr w:type="gramStart"/>
      <w:r w:rsidRPr="00365860">
        <w:rPr>
          <w:rFonts w:ascii="Arial" w:hAnsi="Arial" w:cs="Arial"/>
          <w:b/>
          <w:sz w:val="20"/>
          <w:szCs w:val="20"/>
        </w:rPr>
        <w:t>Fig.</w:t>
      </w:r>
      <w:proofErr w:type="gramEnd"/>
      <w:r w:rsidRPr="00365860">
        <w:rPr>
          <w:rFonts w:ascii="Arial" w:hAnsi="Arial" w:cs="Arial"/>
          <w:b/>
          <w:sz w:val="20"/>
          <w:szCs w:val="20"/>
        </w:rPr>
        <w:t xml:space="preserve"> n. 16 - Il modello di </w:t>
      </w:r>
      <w:proofErr w:type="spellStart"/>
      <w:r w:rsidRPr="00365860">
        <w:rPr>
          <w:rFonts w:ascii="Arial" w:hAnsi="Arial" w:cs="Arial"/>
          <w:b/>
          <w:sz w:val="20"/>
          <w:szCs w:val="20"/>
        </w:rPr>
        <w:t>Andragogia</w:t>
      </w:r>
      <w:proofErr w:type="spellEnd"/>
      <w:r w:rsidRPr="00365860">
        <w:rPr>
          <w:rFonts w:ascii="Arial" w:hAnsi="Arial" w:cs="Arial"/>
          <w:b/>
          <w:sz w:val="20"/>
          <w:szCs w:val="20"/>
        </w:rPr>
        <w:t xml:space="preserve"> in pratica</w:t>
      </w:r>
    </w:p>
    <w:p w14:paraId="2A2C806C" w14:textId="77777777" w:rsidR="00365860" w:rsidRPr="00365860" w:rsidRDefault="00365860" w:rsidP="00365860">
      <w:r w:rsidRPr="00365860">
        <w:rPr>
          <w:noProof/>
        </w:rPr>
        <w:drawing>
          <wp:inline distT="0" distB="0" distL="0" distR="0" wp14:anchorId="21BD450D" wp14:editId="750ECBBA">
            <wp:extent cx="3776345" cy="2954655"/>
            <wp:effectExtent l="0" t="0" r="8255" b="0"/>
            <wp:docPr id="23" name="Immagin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345" cy="295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870E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3B14D311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28F208BF" w14:textId="77777777" w:rsidR="00365860" w:rsidRPr="00365860" w:rsidRDefault="00365860" w:rsidP="00365860">
      <w:pPr>
        <w:spacing w:line="260" w:lineRule="exact"/>
        <w:jc w:val="both"/>
        <w:rPr>
          <w:b/>
          <w:sz w:val="22"/>
          <w:szCs w:val="22"/>
        </w:rPr>
      </w:pPr>
      <w:r w:rsidRPr="00365860">
        <w:rPr>
          <w:b/>
          <w:sz w:val="22"/>
          <w:szCs w:val="22"/>
        </w:rPr>
        <w:t xml:space="preserve">    </w:t>
      </w:r>
      <w:proofErr w:type="spellStart"/>
      <w:r w:rsidRPr="00365860">
        <w:rPr>
          <w:b/>
          <w:sz w:val="22"/>
          <w:szCs w:val="22"/>
        </w:rPr>
        <w:t>Revans</w:t>
      </w:r>
      <w:proofErr w:type="spellEnd"/>
    </w:p>
    <w:p w14:paraId="68464B7F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proofErr w:type="spellStart"/>
      <w:r w:rsidRPr="00365860">
        <w:rPr>
          <w:sz w:val="22"/>
          <w:szCs w:val="22"/>
        </w:rPr>
        <w:t>Reginald</w:t>
      </w:r>
      <w:proofErr w:type="spellEnd"/>
      <w:r w:rsidRPr="00365860">
        <w:rPr>
          <w:sz w:val="22"/>
          <w:szCs w:val="22"/>
        </w:rPr>
        <w:t xml:space="preserve"> </w:t>
      </w:r>
      <w:proofErr w:type="spellStart"/>
      <w:r w:rsidRPr="00365860">
        <w:rPr>
          <w:sz w:val="22"/>
          <w:szCs w:val="22"/>
        </w:rPr>
        <w:t>Revans</w:t>
      </w:r>
      <w:proofErr w:type="spellEnd"/>
      <w:r w:rsidRPr="00365860">
        <w:rPr>
          <w:sz w:val="22"/>
          <w:szCs w:val="22"/>
        </w:rPr>
        <w:t xml:space="preserve"> fu un ex atleta olimpico che lavorò ai </w:t>
      </w:r>
      <w:proofErr w:type="spellStart"/>
      <w:r w:rsidRPr="00365860">
        <w:rPr>
          <w:sz w:val="22"/>
          <w:szCs w:val="22"/>
        </w:rPr>
        <w:t>Cavendish</w:t>
      </w:r>
      <w:proofErr w:type="spellEnd"/>
      <w:r w:rsidRPr="00365860">
        <w:rPr>
          <w:sz w:val="22"/>
          <w:szCs w:val="22"/>
        </w:rPr>
        <w:t xml:space="preserve"> </w:t>
      </w:r>
      <w:proofErr w:type="spellStart"/>
      <w:r w:rsidRPr="00365860">
        <w:rPr>
          <w:sz w:val="22"/>
          <w:szCs w:val="22"/>
        </w:rPr>
        <w:t>Laboratories</w:t>
      </w:r>
      <w:proofErr w:type="spellEnd"/>
      <w:r w:rsidRPr="00365860">
        <w:rPr>
          <w:sz w:val="22"/>
          <w:szCs w:val="22"/>
        </w:rPr>
        <w:t xml:space="preserve"> e presso il National </w:t>
      </w:r>
      <w:proofErr w:type="spellStart"/>
      <w:r w:rsidRPr="00365860">
        <w:rPr>
          <w:sz w:val="22"/>
          <w:szCs w:val="22"/>
        </w:rPr>
        <w:t>Coal</w:t>
      </w:r>
      <w:proofErr w:type="spellEnd"/>
      <w:r w:rsidRPr="00365860">
        <w:rPr>
          <w:sz w:val="22"/>
          <w:szCs w:val="22"/>
        </w:rPr>
        <w:t xml:space="preserve"> </w:t>
      </w:r>
      <w:proofErr w:type="gramStart"/>
      <w:r w:rsidRPr="00365860">
        <w:rPr>
          <w:sz w:val="22"/>
          <w:szCs w:val="22"/>
        </w:rPr>
        <w:t>Board</w:t>
      </w:r>
      <w:proofErr w:type="gramEnd"/>
      <w:r w:rsidRPr="00365860">
        <w:rPr>
          <w:sz w:val="22"/>
          <w:szCs w:val="22"/>
        </w:rPr>
        <w:t xml:space="preserve">. </w:t>
      </w:r>
    </w:p>
    <w:p w14:paraId="6BCB253F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Studioso inglese di Management, sviluppò l'idea dell</w:t>
      </w:r>
      <w:r w:rsidRPr="00365860">
        <w:rPr>
          <w:b/>
          <w:sz w:val="22"/>
          <w:szCs w:val="22"/>
        </w:rPr>
        <w:t xml:space="preserve">’Action Learning </w:t>
      </w:r>
      <w:r w:rsidRPr="00365860">
        <w:rPr>
          <w:sz w:val="22"/>
          <w:szCs w:val="22"/>
        </w:rPr>
        <w:t>negli anni Quaranta, ma fu solo con il suo "</w:t>
      </w:r>
      <w:proofErr w:type="spellStart"/>
      <w:r w:rsidRPr="00365860">
        <w:rPr>
          <w:sz w:val="22"/>
          <w:szCs w:val="22"/>
        </w:rPr>
        <w:t>Developing</w:t>
      </w:r>
      <w:proofErr w:type="spellEnd"/>
      <w:r w:rsidRPr="00365860">
        <w:rPr>
          <w:sz w:val="22"/>
          <w:szCs w:val="22"/>
        </w:rPr>
        <w:t xml:space="preserve"> </w:t>
      </w:r>
      <w:proofErr w:type="spellStart"/>
      <w:r w:rsidRPr="00365860">
        <w:rPr>
          <w:sz w:val="22"/>
          <w:szCs w:val="22"/>
        </w:rPr>
        <w:t>Effective</w:t>
      </w:r>
      <w:proofErr w:type="spellEnd"/>
      <w:r w:rsidRPr="00365860">
        <w:rPr>
          <w:sz w:val="22"/>
          <w:szCs w:val="22"/>
        </w:rPr>
        <w:t xml:space="preserve"> managers", del 1971, che questo modello divenne conosciuto </w:t>
      </w:r>
      <w:proofErr w:type="gramStart"/>
      <w:r w:rsidRPr="00365860">
        <w:rPr>
          <w:sz w:val="22"/>
          <w:szCs w:val="22"/>
        </w:rPr>
        <w:t>ed</w:t>
      </w:r>
      <w:proofErr w:type="gramEnd"/>
      <w:r w:rsidRPr="00365860">
        <w:rPr>
          <w:sz w:val="22"/>
          <w:szCs w:val="22"/>
        </w:rPr>
        <w:t xml:space="preserve"> utilizzato a livello internazionale.</w:t>
      </w:r>
    </w:p>
    <w:p w14:paraId="6B60C11E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L’</w:t>
      </w:r>
      <w:r w:rsidRPr="00365860">
        <w:rPr>
          <w:i/>
          <w:sz w:val="22"/>
          <w:szCs w:val="22"/>
        </w:rPr>
        <w:t xml:space="preserve">Action Learning </w:t>
      </w:r>
      <w:r w:rsidRPr="00365860">
        <w:rPr>
          <w:sz w:val="22"/>
          <w:szCs w:val="22"/>
        </w:rPr>
        <w:t xml:space="preserve">è un modello di apprendimento basato sull’azione e sull’esperienza. Questo metodo prevede di far lavorare i </w:t>
      </w:r>
      <w:r w:rsidRPr="00365860">
        <w:rPr>
          <w:i/>
          <w:sz w:val="22"/>
          <w:szCs w:val="22"/>
        </w:rPr>
        <w:t>manager</w:t>
      </w:r>
      <w:r w:rsidRPr="00365860">
        <w:rPr>
          <w:sz w:val="22"/>
          <w:szCs w:val="22"/>
        </w:rPr>
        <w:t xml:space="preserve"> in gruppi di lavoro su problemi concreti.</w:t>
      </w:r>
    </w:p>
    <w:p w14:paraId="79DD9701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proofErr w:type="spellStart"/>
      <w:r w:rsidRPr="00365860">
        <w:rPr>
          <w:sz w:val="22"/>
          <w:szCs w:val="22"/>
        </w:rPr>
        <w:t>Revans</w:t>
      </w:r>
      <w:proofErr w:type="spellEnd"/>
      <w:r w:rsidRPr="00365860">
        <w:rPr>
          <w:sz w:val="22"/>
          <w:szCs w:val="22"/>
        </w:rPr>
        <w:t xml:space="preserve"> spiegò </w:t>
      </w:r>
      <w:r w:rsidRPr="00365860">
        <w:rPr>
          <w:i/>
          <w:sz w:val="22"/>
          <w:szCs w:val="22"/>
        </w:rPr>
        <w:t>l’Action Learning</w:t>
      </w:r>
      <w:r w:rsidRPr="00365860">
        <w:rPr>
          <w:sz w:val="22"/>
          <w:szCs w:val="22"/>
        </w:rPr>
        <w:t xml:space="preserve"> con questa semplice equazione:</w:t>
      </w:r>
    </w:p>
    <w:p w14:paraId="44F6EBFC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</w:p>
    <w:p w14:paraId="4FC80EAB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center"/>
        <w:rPr>
          <w:sz w:val="22"/>
          <w:szCs w:val="22"/>
        </w:rPr>
      </w:pPr>
      <w:r w:rsidRPr="00365860">
        <w:rPr>
          <w:sz w:val="22"/>
          <w:szCs w:val="22"/>
        </w:rPr>
        <w:t>L=P+Q</w:t>
      </w:r>
    </w:p>
    <w:p w14:paraId="48E79415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</w:p>
    <w:p w14:paraId="7728BAEC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Ossia l’apprendimento (</w:t>
      </w:r>
      <w:r w:rsidRPr="00365860">
        <w:rPr>
          <w:i/>
          <w:sz w:val="22"/>
          <w:szCs w:val="22"/>
        </w:rPr>
        <w:t>Learning</w:t>
      </w:r>
      <w:r w:rsidRPr="00365860">
        <w:rPr>
          <w:sz w:val="22"/>
          <w:szCs w:val="22"/>
        </w:rPr>
        <w:t>) è una combinazione di conoscenza programmata (</w:t>
      </w:r>
      <w:proofErr w:type="spellStart"/>
      <w:r w:rsidRPr="00365860">
        <w:rPr>
          <w:i/>
          <w:sz w:val="22"/>
          <w:szCs w:val="22"/>
        </w:rPr>
        <w:t>Programmed</w:t>
      </w:r>
      <w:proofErr w:type="spellEnd"/>
      <w:r w:rsidRPr="00365860">
        <w:rPr>
          <w:i/>
          <w:sz w:val="22"/>
          <w:szCs w:val="22"/>
        </w:rPr>
        <w:t xml:space="preserve"> </w:t>
      </w:r>
      <w:proofErr w:type="spellStart"/>
      <w:r w:rsidRPr="00365860">
        <w:rPr>
          <w:i/>
          <w:sz w:val="22"/>
          <w:szCs w:val="22"/>
        </w:rPr>
        <w:t>knowledge</w:t>
      </w:r>
      <w:proofErr w:type="spellEnd"/>
      <w:r w:rsidRPr="00365860">
        <w:rPr>
          <w:sz w:val="22"/>
          <w:szCs w:val="22"/>
        </w:rPr>
        <w:t xml:space="preserve">) e della capacità di porre domande </w:t>
      </w:r>
      <w:proofErr w:type="gramStart"/>
      <w:r w:rsidRPr="00365860">
        <w:rPr>
          <w:sz w:val="22"/>
          <w:szCs w:val="22"/>
        </w:rPr>
        <w:t>significative</w:t>
      </w:r>
      <w:proofErr w:type="gramEnd"/>
      <w:r w:rsidRPr="00365860">
        <w:rPr>
          <w:sz w:val="22"/>
          <w:szCs w:val="22"/>
        </w:rPr>
        <w:t xml:space="preserve"> (</w:t>
      </w:r>
      <w:proofErr w:type="spellStart"/>
      <w:r w:rsidRPr="00365860">
        <w:rPr>
          <w:i/>
          <w:sz w:val="22"/>
          <w:szCs w:val="22"/>
        </w:rPr>
        <w:t>Insightful</w:t>
      </w:r>
      <w:proofErr w:type="spellEnd"/>
      <w:r w:rsidRPr="00365860">
        <w:rPr>
          <w:i/>
          <w:sz w:val="22"/>
          <w:szCs w:val="22"/>
        </w:rPr>
        <w:t xml:space="preserve"> </w:t>
      </w:r>
      <w:proofErr w:type="spellStart"/>
      <w:r w:rsidRPr="00365860">
        <w:rPr>
          <w:i/>
          <w:sz w:val="22"/>
          <w:szCs w:val="22"/>
        </w:rPr>
        <w:t>Question</w:t>
      </w:r>
      <w:proofErr w:type="spellEnd"/>
      <w:r w:rsidRPr="00365860">
        <w:rPr>
          <w:sz w:val="22"/>
          <w:szCs w:val="22"/>
        </w:rPr>
        <w:t>).</w:t>
      </w:r>
    </w:p>
    <w:p w14:paraId="7097F302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</w:p>
    <w:p w14:paraId="1052768F" w14:textId="77777777" w:rsidR="00365860" w:rsidRPr="00365860" w:rsidRDefault="00365860" w:rsidP="00365860">
      <w:pPr>
        <w:pStyle w:val="NormaleWeb"/>
        <w:spacing w:before="0" w:beforeAutospacing="0" w:after="0" w:afterAutospacing="0"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L’</w:t>
      </w:r>
      <w:r w:rsidRPr="00365860">
        <w:rPr>
          <w:i/>
          <w:sz w:val="22"/>
          <w:szCs w:val="22"/>
        </w:rPr>
        <w:t xml:space="preserve">Action Learning </w:t>
      </w:r>
      <w:r w:rsidRPr="00365860">
        <w:rPr>
          <w:sz w:val="22"/>
          <w:szCs w:val="22"/>
        </w:rPr>
        <w:t xml:space="preserve">rappresenta una rivoluzione nel campo dei modelli di apprendimento, </w:t>
      </w:r>
      <w:proofErr w:type="gramStart"/>
      <w:r w:rsidRPr="00365860">
        <w:rPr>
          <w:sz w:val="22"/>
          <w:szCs w:val="22"/>
        </w:rPr>
        <w:t>in quanto</w:t>
      </w:r>
      <w:proofErr w:type="gramEnd"/>
      <w:r w:rsidRPr="00365860">
        <w:rPr>
          <w:sz w:val="22"/>
          <w:szCs w:val="22"/>
        </w:rPr>
        <w:t xml:space="preserve"> stravolge la modalità tradizionale dell’aula e del rapporto tra docente e discente. Questo modello è molto utilizzato </w:t>
      </w:r>
      <w:proofErr w:type="gramStart"/>
      <w:r w:rsidRPr="00365860">
        <w:rPr>
          <w:sz w:val="22"/>
          <w:szCs w:val="22"/>
        </w:rPr>
        <w:t>attualmente</w:t>
      </w:r>
      <w:proofErr w:type="gramEnd"/>
      <w:r w:rsidRPr="00365860">
        <w:rPr>
          <w:sz w:val="22"/>
          <w:szCs w:val="22"/>
        </w:rPr>
        <w:t xml:space="preserve">, soprattutto nelle </w:t>
      </w:r>
      <w:r w:rsidRPr="00365860">
        <w:rPr>
          <w:i/>
          <w:sz w:val="22"/>
          <w:szCs w:val="22"/>
        </w:rPr>
        <w:t xml:space="preserve">business </w:t>
      </w:r>
      <w:proofErr w:type="spellStart"/>
      <w:r w:rsidRPr="00365860">
        <w:rPr>
          <w:i/>
          <w:sz w:val="22"/>
          <w:szCs w:val="22"/>
        </w:rPr>
        <w:t>school</w:t>
      </w:r>
      <w:proofErr w:type="spellEnd"/>
      <w:r w:rsidRPr="00365860">
        <w:rPr>
          <w:sz w:val="22"/>
          <w:szCs w:val="22"/>
        </w:rPr>
        <w:t xml:space="preserve">, nelle </w:t>
      </w:r>
      <w:r w:rsidRPr="00365860">
        <w:rPr>
          <w:i/>
          <w:sz w:val="22"/>
          <w:szCs w:val="22"/>
        </w:rPr>
        <w:t xml:space="preserve">Corporate </w:t>
      </w:r>
      <w:proofErr w:type="spellStart"/>
      <w:r w:rsidRPr="00365860">
        <w:rPr>
          <w:i/>
          <w:sz w:val="22"/>
          <w:szCs w:val="22"/>
        </w:rPr>
        <w:t>University</w:t>
      </w:r>
      <w:proofErr w:type="spellEnd"/>
      <w:r w:rsidRPr="00365860">
        <w:rPr>
          <w:sz w:val="22"/>
          <w:szCs w:val="22"/>
        </w:rPr>
        <w:t xml:space="preserve"> e </w:t>
      </w:r>
      <w:r w:rsidRPr="00365860">
        <w:rPr>
          <w:i/>
          <w:sz w:val="22"/>
          <w:szCs w:val="22"/>
        </w:rPr>
        <w:t>Academy</w:t>
      </w:r>
      <w:r w:rsidRPr="00365860">
        <w:rPr>
          <w:sz w:val="22"/>
          <w:szCs w:val="22"/>
        </w:rPr>
        <w:t xml:space="preserve"> perché dà la possibilità di verificare il corretto apprendimento delle teorie attraverso un apprendimento concreto.</w:t>
      </w:r>
    </w:p>
    <w:p w14:paraId="469B15E7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46A42379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21F1A9A8" w14:textId="77777777" w:rsidR="00365860" w:rsidRPr="00365860" w:rsidRDefault="00365860" w:rsidP="00365860">
      <w:pPr>
        <w:spacing w:line="260" w:lineRule="exact"/>
        <w:jc w:val="both"/>
        <w:rPr>
          <w:b/>
          <w:sz w:val="22"/>
          <w:szCs w:val="22"/>
        </w:rPr>
      </w:pPr>
      <w:r w:rsidRPr="00365860">
        <w:rPr>
          <w:b/>
          <w:sz w:val="22"/>
          <w:szCs w:val="22"/>
        </w:rPr>
        <w:t xml:space="preserve">    ASTD</w:t>
      </w:r>
    </w:p>
    <w:p w14:paraId="4F065D8F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L’</w:t>
      </w:r>
      <w:r w:rsidRPr="00365860">
        <w:rPr>
          <w:i/>
          <w:sz w:val="22"/>
          <w:szCs w:val="22"/>
        </w:rPr>
        <w:t xml:space="preserve">American Society for Training Development </w:t>
      </w:r>
      <w:r w:rsidRPr="00365860">
        <w:rPr>
          <w:sz w:val="22"/>
          <w:szCs w:val="22"/>
        </w:rPr>
        <w:t xml:space="preserve">è la più grande associazione mondiale dedicata ai professionisti che si occupano di apprendimento e sviluppo delle persone. Conta membri da più di 100 paesi ed è localmente connessa in più di </w:t>
      </w:r>
      <w:proofErr w:type="gramStart"/>
      <w:r w:rsidRPr="00365860">
        <w:rPr>
          <w:sz w:val="22"/>
          <w:szCs w:val="22"/>
        </w:rPr>
        <w:t>120 circoli americano</w:t>
      </w:r>
      <w:proofErr w:type="gramEnd"/>
      <w:r w:rsidRPr="00365860">
        <w:rPr>
          <w:sz w:val="22"/>
          <w:szCs w:val="22"/>
        </w:rPr>
        <w:t xml:space="preserve"> ed ha più di 20 partner internazionali. I membri lavorando in migliaia di organizzazioni di tutte le dimensioni, nei dipartimenti governativi, come consulenti </w:t>
      </w:r>
      <w:r w:rsidRPr="00365860">
        <w:rPr>
          <w:i/>
          <w:sz w:val="22"/>
          <w:szCs w:val="22"/>
        </w:rPr>
        <w:t>free-lance</w:t>
      </w:r>
      <w:r w:rsidRPr="00365860">
        <w:rPr>
          <w:sz w:val="22"/>
          <w:szCs w:val="22"/>
        </w:rPr>
        <w:t xml:space="preserve"> e fornitori. </w:t>
      </w:r>
    </w:p>
    <w:p w14:paraId="42401463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Fu fondata nel 1943, negli ultimi anni ASTD si è focalizzata nello studio di modelli di misurazione </w:t>
      </w:r>
      <w:proofErr w:type="gramStart"/>
      <w:r w:rsidRPr="00365860">
        <w:rPr>
          <w:sz w:val="22"/>
          <w:szCs w:val="22"/>
        </w:rPr>
        <w:t>delle</w:t>
      </w:r>
      <w:proofErr w:type="gramEnd"/>
      <w:r w:rsidRPr="00365860">
        <w:rPr>
          <w:sz w:val="22"/>
          <w:szCs w:val="22"/>
        </w:rPr>
        <w:t xml:space="preserve"> </w:t>
      </w:r>
      <w:r w:rsidRPr="00365860">
        <w:rPr>
          <w:i/>
          <w:sz w:val="22"/>
          <w:szCs w:val="22"/>
        </w:rPr>
        <w:t>performance</w:t>
      </w:r>
      <w:r w:rsidRPr="00365860">
        <w:rPr>
          <w:sz w:val="22"/>
          <w:szCs w:val="22"/>
        </w:rPr>
        <w:t xml:space="preserve">, e dell’impatto dell’apprendimento nel raggiungimento degli obiettivi di </w:t>
      </w:r>
      <w:r w:rsidRPr="00365860">
        <w:rPr>
          <w:i/>
          <w:sz w:val="22"/>
          <w:szCs w:val="22"/>
        </w:rPr>
        <w:t>business</w:t>
      </w:r>
      <w:r w:rsidRPr="00365860">
        <w:rPr>
          <w:sz w:val="22"/>
          <w:szCs w:val="22"/>
        </w:rPr>
        <w:t xml:space="preserve"> delle organizzazioni ed è un </w:t>
      </w:r>
      <w:r w:rsidRPr="00365860">
        <w:rPr>
          <w:i/>
          <w:sz w:val="22"/>
          <w:szCs w:val="22"/>
        </w:rPr>
        <w:t>partner</w:t>
      </w:r>
      <w:r w:rsidRPr="00365860">
        <w:rPr>
          <w:sz w:val="22"/>
          <w:szCs w:val="22"/>
        </w:rPr>
        <w:t xml:space="preserve"> richiesto nelle discussioni politiche pubbliche su questi temi. </w:t>
      </w:r>
    </w:p>
    <w:p w14:paraId="2F5AE0D9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4C70B83A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ASTD:</w:t>
      </w:r>
    </w:p>
    <w:p w14:paraId="1B586948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29CBAB53" w14:textId="77777777" w:rsidR="00365860" w:rsidRPr="00365860" w:rsidRDefault="00365860" w:rsidP="00365860">
      <w:pPr>
        <w:numPr>
          <w:ilvl w:val="0"/>
          <w:numId w:val="5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Fornisce informazioni ai professionisti che si occupano di apprendimento e sviluppo;</w:t>
      </w:r>
    </w:p>
    <w:p w14:paraId="05786387" w14:textId="77777777" w:rsidR="00365860" w:rsidRPr="00365860" w:rsidRDefault="00365860" w:rsidP="00365860">
      <w:pPr>
        <w:numPr>
          <w:ilvl w:val="0"/>
          <w:numId w:val="5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Organizza conferenze, workshop e momenti di confronto anche </w:t>
      </w:r>
      <w:r w:rsidRPr="00365860">
        <w:rPr>
          <w:i/>
          <w:sz w:val="22"/>
          <w:szCs w:val="22"/>
        </w:rPr>
        <w:t>online</w:t>
      </w:r>
      <w:r w:rsidRPr="00365860">
        <w:rPr>
          <w:sz w:val="22"/>
          <w:szCs w:val="22"/>
        </w:rPr>
        <w:t>;</w:t>
      </w:r>
    </w:p>
    <w:p w14:paraId="768ED362" w14:textId="77777777" w:rsidR="00365860" w:rsidRPr="00365860" w:rsidRDefault="00365860" w:rsidP="00365860">
      <w:pPr>
        <w:numPr>
          <w:ilvl w:val="0"/>
          <w:numId w:val="5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Fornisce una certificazione in Apprendimento e Performance (</w:t>
      </w:r>
      <w:proofErr w:type="spellStart"/>
      <w:r w:rsidRPr="00365860">
        <w:rPr>
          <w:i/>
          <w:sz w:val="22"/>
          <w:szCs w:val="22"/>
        </w:rPr>
        <w:t>Certified</w:t>
      </w:r>
      <w:proofErr w:type="spellEnd"/>
      <w:r w:rsidRPr="00365860">
        <w:rPr>
          <w:i/>
          <w:sz w:val="22"/>
          <w:szCs w:val="22"/>
        </w:rPr>
        <w:t xml:space="preserve"> Professional in Learning and Performance</w:t>
      </w:r>
      <w:r w:rsidRPr="00365860">
        <w:rPr>
          <w:sz w:val="22"/>
          <w:szCs w:val="22"/>
        </w:rPr>
        <w:t xml:space="preserve"> – CPLP);</w:t>
      </w:r>
    </w:p>
    <w:p w14:paraId="60505049" w14:textId="77777777" w:rsidR="00365860" w:rsidRPr="00365860" w:rsidRDefault="00365860" w:rsidP="00365860">
      <w:pPr>
        <w:numPr>
          <w:ilvl w:val="0"/>
          <w:numId w:val="5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Sostiene la discussione a livello di </w:t>
      </w:r>
      <w:r w:rsidRPr="00365860">
        <w:rPr>
          <w:i/>
          <w:sz w:val="22"/>
          <w:szCs w:val="22"/>
        </w:rPr>
        <w:t xml:space="preserve">policy </w:t>
      </w:r>
      <w:proofErr w:type="spellStart"/>
      <w:r w:rsidRPr="00365860">
        <w:rPr>
          <w:i/>
          <w:sz w:val="22"/>
          <w:szCs w:val="22"/>
        </w:rPr>
        <w:t>makers</w:t>
      </w:r>
      <w:proofErr w:type="spellEnd"/>
      <w:r w:rsidRPr="00365860">
        <w:rPr>
          <w:sz w:val="22"/>
          <w:szCs w:val="22"/>
        </w:rPr>
        <w:t>;</w:t>
      </w:r>
    </w:p>
    <w:p w14:paraId="0424D9C3" w14:textId="77777777" w:rsidR="00365860" w:rsidRPr="00365860" w:rsidRDefault="00365860" w:rsidP="00365860">
      <w:pPr>
        <w:numPr>
          <w:ilvl w:val="0"/>
          <w:numId w:val="5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Riconosce l’eccellenza e stabilisce criteri di standard per le migliori pratiche in apprendimento e performance.</w:t>
      </w:r>
    </w:p>
    <w:p w14:paraId="14C2CE22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106A9BFC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La </w:t>
      </w:r>
      <w:proofErr w:type="spellStart"/>
      <w:r w:rsidRPr="00365860">
        <w:rPr>
          <w:i/>
          <w:sz w:val="22"/>
          <w:szCs w:val="22"/>
        </w:rPr>
        <w:t>mission</w:t>
      </w:r>
      <w:proofErr w:type="spellEnd"/>
      <w:r w:rsidRPr="00365860">
        <w:rPr>
          <w:sz w:val="22"/>
          <w:szCs w:val="22"/>
        </w:rPr>
        <w:t xml:space="preserve"> di ASTD è </w:t>
      </w:r>
      <w:proofErr w:type="gramStart"/>
      <w:r w:rsidRPr="00365860">
        <w:rPr>
          <w:sz w:val="22"/>
          <w:szCs w:val="22"/>
        </w:rPr>
        <w:t>quella di</w:t>
      </w:r>
      <w:proofErr w:type="gramEnd"/>
      <w:r w:rsidRPr="00365860">
        <w:rPr>
          <w:sz w:val="22"/>
          <w:szCs w:val="22"/>
        </w:rPr>
        <w:t xml:space="preserve"> sostenere i professionisti a sviluppare conoscenza e capacità in modo vincente.</w:t>
      </w:r>
      <w:r w:rsidRPr="00365860">
        <w:rPr>
          <w:rStyle w:val="Rimandonotaapidipagina"/>
          <w:sz w:val="22"/>
          <w:szCs w:val="22"/>
        </w:rPr>
        <w:footnoteReference w:id="2"/>
      </w:r>
    </w:p>
    <w:p w14:paraId="64EEDDC6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3ABEDCDB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472B94ED" w14:textId="77777777" w:rsidR="00365860" w:rsidRPr="00365860" w:rsidRDefault="00365860" w:rsidP="00365860">
      <w:pPr>
        <w:spacing w:line="260" w:lineRule="exact"/>
        <w:jc w:val="both"/>
        <w:rPr>
          <w:b/>
          <w:sz w:val="22"/>
          <w:szCs w:val="22"/>
        </w:rPr>
      </w:pPr>
      <w:r w:rsidRPr="00365860">
        <w:rPr>
          <w:b/>
          <w:sz w:val="22"/>
          <w:szCs w:val="22"/>
        </w:rPr>
        <w:t xml:space="preserve">    </w:t>
      </w:r>
      <w:proofErr w:type="spellStart"/>
      <w:r w:rsidRPr="00365860">
        <w:rPr>
          <w:b/>
          <w:sz w:val="22"/>
          <w:szCs w:val="22"/>
        </w:rPr>
        <w:t>CorpU</w:t>
      </w:r>
      <w:proofErr w:type="spellEnd"/>
    </w:p>
    <w:p w14:paraId="6DFD19FE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Corporate </w:t>
      </w:r>
      <w:proofErr w:type="spellStart"/>
      <w:r w:rsidRPr="00365860">
        <w:rPr>
          <w:sz w:val="22"/>
          <w:szCs w:val="22"/>
        </w:rPr>
        <w:t>Univeristy</w:t>
      </w:r>
      <w:proofErr w:type="spellEnd"/>
      <w:r w:rsidRPr="00365860">
        <w:rPr>
          <w:sz w:val="22"/>
          <w:szCs w:val="22"/>
        </w:rPr>
        <w:t xml:space="preserve"> </w:t>
      </w:r>
      <w:proofErr w:type="spellStart"/>
      <w:r w:rsidRPr="00365860">
        <w:rPr>
          <w:sz w:val="22"/>
          <w:szCs w:val="22"/>
        </w:rPr>
        <w:t>Xchange</w:t>
      </w:r>
      <w:proofErr w:type="spellEnd"/>
      <w:r w:rsidRPr="00365860">
        <w:rPr>
          <w:sz w:val="22"/>
          <w:szCs w:val="22"/>
        </w:rPr>
        <w:t xml:space="preserve"> (</w:t>
      </w:r>
      <w:proofErr w:type="spellStart"/>
      <w:r w:rsidRPr="00365860">
        <w:rPr>
          <w:sz w:val="22"/>
          <w:szCs w:val="22"/>
        </w:rPr>
        <w:t>CorpU</w:t>
      </w:r>
      <w:proofErr w:type="spellEnd"/>
      <w:r w:rsidRPr="00365860">
        <w:rPr>
          <w:sz w:val="22"/>
          <w:szCs w:val="22"/>
        </w:rPr>
        <w:t xml:space="preserve">), è il più importante network mondiale che </w:t>
      </w:r>
      <w:proofErr w:type="gramStart"/>
      <w:r w:rsidRPr="00365860">
        <w:rPr>
          <w:sz w:val="22"/>
          <w:szCs w:val="22"/>
        </w:rPr>
        <w:t>riunisce</w:t>
      </w:r>
      <w:proofErr w:type="gramEnd"/>
      <w:r w:rsidRPr="00365860">
        <w:rPr>
          <w:sz w:val="22"/>
          <w:szCs w:val="22"/>
        </w:rPr>
        <w:t xml:space="preserve"> i responsabili delle Corporate </w:t>
      </w:r>
      <w:proofErr w:type="spellStart"/>
      <w:r w:rsidRPr="00365860">
        <w:rPr>
          <w:sz w:val="22"/>
          <w:szCs w:val="22"/>
        </w:rPr>
        <w:t>University</w:t>
      </w:r>
      <w:proofErr w:type="spellEnd"/>
      <w:r w:rsidRPr="00365860">
        <w:rPr>
          <w:sz w:val="22"/>
          <w:szCs w:val="22"/>
        </w:rPr>
        <w:t xml:space="preserve">. </w:t>
      </w:r>
    </w:p>
    <w:p w14:paraId="21DB1392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Dal 1997, </w:t>
      </w:r>
      <w:proofErr w:type="spellStart"/>
      <w:r w:rsidRPr="00365860">
        <w:rPr>
          <w:sz w:val="22"/>
          <w:szCs w:val="22"/>
        </w:rPr>
        <w:t>CorpU</w:t>
      </w:r>
      <w:proofErr w:type="spellEnd"/>
      <w:r w:rsidRPr="00365860">
        <w:rPr>
          <w:sz w:val="22"/>
          <w:szCs w:val="22"/>
        </w:rPr>
        <w:t xml:space="preserve"> ha aiutato a disegnare e </w:t>
      </w:r>
      <w:proofErr w:type="gramStart"/>
      <w:r w:rsidRPr="00365860">
        <w:rPr>
          <w:sz w:val="22"/>
          <w:szCs w:val="22"/>
        </w:rPr>
        <w:t>ad</w:t>
      </w:r>
      <w:proofErr w:type="gramEnd"/>
      <w:r w:rsidRPr="00365860">
        <w:rPr>
          <w:sz w:val="22"/>
          <w:szCs w:val="22"/>
        </w:rPr>
        <w:t xml:space="preserve"> implementare centinaia di </w:t>
      </w:r>
      <w:r w:rsidRPr="00365860">
        <w:rPr>
          <w:i/>
          <w:sz w:val="22"/>
          <w:szCs w:val="22"/>
        </w:rPr>
        <w:t xml:space="preserve">Learning </w:t>
      </w:r>
      <w:proofErr w:type="spellStart"/>
      <w:r w:rsidRPr="00365860">
        <w:rPr>
          <w:i/>
          <w:sz w:val="22"/>
          <w:szCs w:val="22"/>
        </w:rPr>
        <w:t>organisation</w:t>
      </w:r>
      <w:proofErr w:type="spellEnd"/>
      <w:r w:rsidRPr="00365860">
        <w:rPr>
          <w:sz w:val="22"/>
          <w:szCs w:val="22"/>
        </w:rPr>
        <w:t xml:space="preserve"> in tutto il mondo, tra cui Caterpillar, M&amp;M, Mars, </w:t>
      </w:r>
      <w:proofErr w:type="spellStart"/>
      <w:r w:rsidRPr="00365860">
        <w:rPr>
          <w:sz w:val="22"/>
          <w:szCs w:val="22"/>
        </w:rPr>
        <w:t>Exxon</w:t>
      </w:r>
      <w:proofErr w:type="spellEnd"/>
      <w:r w:rsidRPr="00365860">
        <w:rPr>
          <w:sz w:val="22"/>
          <w:szCs w:val="22"/>
        </w:rPr>
        <w:t xml:space="preserve"> e molte altre. </w:t>
      </w:r>
    </w:p>
    <w:p w14:paraId="6C8A89E6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Oltre ad avere un’importante libreria </w:t>
      </w:r>
      <w:proofErr w:type="gramStart"/>
      <w:r w:rsidRPr="00365860">
        <w:rPr>
          <w:sz w:val="22"/>
          <w:szCs w:val="22"/>
        </w:rPr>
        <w:t>ed</w:t>
      </w:r>
      <w:proofErr w:type="gramEnd"/>
      <w:r w:rsidRPr="00365860">
        <w:rPr>
          <w:sz w:val="22"/>
          <w:szCs w:val="22"/>
        </w:rPr>
        <w:t xml:space="preserve"> un servizio di ricerca innovativo su questi temi (a cui i membri di </w:t>
      </w:r>
      <w:proofErr w:type="spellStart"/>
      <w:r w:rsidRPr="00365860">
        <w:rPr>
          <w:sz w:val="22"/>
          <w:szCs w:val="22"/>
        </w:rPr>
        <w:t>CorpU</w:t>
      </w:r>
      <w:proofErr w:type="spellEnd"/>
      <w:r w:rsidRPr="00365860">
        <w:rPr>
          <w:sz w:val="22"/>
          <w:szCs w:val="22"/>
        </w:rPr>
        <w:t xml:space="preserve"> possono accedere), </w:t>
      </w:r>
      <w:proofErr w:type="spellStart"/>
      <w:r w:rsidRPr="00365860">
        <w:rPr>
          <w:sz w:val="22"/>
          <w:szCs w:val="22"/>
        </w:rPr>
        <w:t>CorpU</w:t>
      </w:r>
      <w:proofErr w:type="spellEnd"/>
      <w:r w:rsidRPr="00365860">
        <w:rPr>
          <w:sz w:val="22"/>
          <w:szCs w:val="22"/>
        </w:rPr>
        <w:t xml:space="preserve"> ha un servizio di consulenza per le </w:t>
      </w:r>
      <w:r w:rsidRPr="00365860">
        <w:rPr>
          <w:i/>
          <w:sz w:val="22"/>
          <w:szCs w:val="22"/>
        </w:rPr>
        <w:t xml:space="preserve">Corporate Learning </w:t>
      </w:r>
      <w:proofErr w:type="spellStart"/>
      <w:r w:rsidRPr="00365860">
        <w:rPr>
          <w:i/>
          <w:sz w:val="22"/>
          <w:szCs w:val="22"/>
        </w:rPr>
        <w:t>Organisation</w:t>
      </w:r>
      <w:proofErr w:type="spellEnd"/>
      <w:r w:rsidRPr="00365860">
        <w:rPr>
          <w:sz w:val="22"/>
          <w:szCs w:val="22"/>
        </w:rPr>
        <w:t>, che include:</w:t>
      </w:r>
    </w:p>
    <w:p w14:paraId="19D92FCC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3C0B66AC" w14:textId="77777777" w:rsidR="00365860" w:rsidRPr="00365860" w:rsidRDefault="00365860" w:rsidP="00365860">
      <w:pPr>
        <w:numPr>
          <w:ilvl w:val="0"/>
          <w:numId w:val="6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Il disegno di </w:t>
      </w:r>
      <w:r w:rsidRPr="00365860">
        <w:rPr>
          <w:i/>
          <w:sz w:val="22"/>
          <w:szCs w:val="22"/>
        </w:rPr>
        <w:t xml:space="preserve">Corporate </w:t>
      </w:r>
      <w:proofErr w:type="spellStart"/>
      <w:r w:rsidRPr="00365860">
        <w:rPr>
          <w:i/>
          <w:sz w:val="22"/>
          <w:szCs w:val="22"/>
        </w:rPr>
        <w:t>University</w:t>
      </w:r>
      <w:proofErr w:type="spellEnd"/>
      <w:r w:rsidRPr="00365860">
        <w:rPr>
          <w:i/>
          <w:sz w:val="22"/>
          <w:szCs w:val="22"/>
        </w:rPr>
        <w:t>;</w:t>
      </w:r>
    </w:p>
    <w:p w14:paraId="1C6EABDA" w14:textId="77777777" w:rsidR="00365860" w:rsidRPr="00365860" w:rsidRDefault="00365860" w:rsidP="00365860">
      <w:pPr>
        <w:numPr>
          <w:ilvl w:val="0"/>
          <w:numId w:val="6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Lo sviluppo di strategie di apprendimento per le aziende;</w:t>
      </w:r>
    </w:p>
    <w:p w14:paraId="5CC39C17" w14:textId="77777777" w:rsidR="00365860" w:rsidRPr="00365860" w:rsidRDefault="00365860" w:rsidP="00365860">
      <w:pPr>
        <w:numPr>
          <w:ilvl w:val="0"/>
          <w:numId w:val="6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Il disegno </w:t>
      </w:r>
      <w:proofErr w:type="gramStart"/>
      <w:r w:rsidRPr="00365860">
        <w:rPr>
          <w:sz w:val="22"/>
          <w:szCs w:val="22"/>
        </w:rPr>
        <w:t xml:space="preserve">di </w:t>
      </w:r>
      <w:proofErr w:type="gramEnd"/>
      <w:r w:rsidRPr="00365860">
        <w:rPr>
          <w:sz w:val="22"/>
          <w:szCs w:val="22"/>
        </w:rPr>
        <w:t>infrastrutture tecnologiche anche per la valutazione e la selezione;</w:t>
      </w:r>
    </w:p>
    <w:p w14:paraId="57480CA6" w14:textId="77777777" w:rsidR="00365860" w:rsidRPr="00365860" w:rsidRDefault="00365860" w:rsidP="00365860">
      <w:pPr>
        <w:numPr>
          <w:ilvl w:val="0"/>
          <w:numId w:val="6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>Il benchmark e le migliori pratiche;</w:t>
      </w:r>
    </w:p>
    <w:p w14:paraId="021A2489" w14:textId="77777777" w:rsidR="00365860" w:rsidRPr="00365860" w:rsidRDefault="00365860" w:rsidP="00365860">
      <w:pPr>
        <w:numPr>
          <w:ilvl w:val="0"/>
          <w:numId w:val="6"/>
        </w:num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La strategia di </w:t>
      </w:r>
      <w:r w:rsidRPr="00365860">
        <w:rPr>
          <w:i/>
          <w:sz w:val="22"/>
          <w:szCs w:val="22"/>
        </w:rPr>
        <w:t xml:space="preserve">Training </w:t>
      </w:r>
      <w:proofErr w:type="spellStart"/>
      <w:r w:rsidRPr="00365860">
        <w:rPr>
          <w:i/>
          <w:sz w:val="22"/>
          <w:szCs w:val="22"/>
        </w:rPr>
        <w:t>Assessment</w:t>
      </w:r>
      <w:proofErr w:type="spellEnd"/>
      <w:r w:rsidRPr="00365860">
        <w:rPr>
          <w:sz w:val="22"/>
          <w:szCs w:val="22"/>
        </w:rPr>
        <w:t>.</w:t>
      </w:r>
    </w:p>
    <w:p w14:paraId="3FF84248" w14:textId="77777777" w:rsidR="00365860" w:rsidRPr="00365860" w:rsidRDefault="00365860" w:rsidP="00365860">
      <w:pPr>
        <w:spacing w:line="260" w:lineRule="exact"/>
        <w:jc w:val="both"/>
        <w:rPr>
          <w:sz w:val="22"/>
          <w:szCs w:val="22"/>
        </w:rPr>
      </w:pPr>
    </w:p>
    <w:p w14:paraId="3213ABEF" w14:textId="77777777" w:rsidR="00365860" w:rsidRDefault="00365860" w:rsidP="00365860">
      <w:pPr>
        <w:spacing w:line="260" w:lineRule="exact"/>
        <w:jc w:val="both"/>
        <w:rPr>
          <w:sz w:val="22"/>
          <w:szCs w:val="22"/>
        </w:rPr>
      </w:pPr>
      <w:r w:rsidRPr="00365860">
        <w:rPr>
          <w:sz w:val="22"/>
          <w:szCs w:val="22"/>
        </w:rPr>
        <w:t xml:space="preserve">Inoltre il dipartimento di ricerca di </w:t>
      </w:r>
      <w:proofErr w:type="spellStart"/>
      <w:r w:rsidRPr="00365860">
        <w:rPr>
          <w:sz w:val="22"/>
          <w:szCs w:val="22"/>
        </w:rPr>
        <w:t>CorpU</w:t>
      </w:r>
      <w:proofErr w:type="spellEnd"/>
      <w:r w:rsidRPr="00365860">
        <w:rPr>
          <w:sz w:val="22"/>
          <w:szCs w:val="22"/>
        </w:rPr>
        <w:t>, sopra citato, fornisce informazioni sul mercato di riferimento, sui modelli di valutazione, elabora ricerche di mercato per le aziende che forniscono consulenza in questo campo, per aumentarne la competitività e crescere nel mercato di riferimento.</w:t>
      </w:r>
      <w:r w:rsidRPr="00365860">
        <w:rPr>
          <w:rStyle w:val="Rimandonotaapidipagina"/>
          <w:sz w:val="22"/>
          <w:szCs w:val="22"/>
        </w:rPr>
        <w:footnoteReference w:id="3"/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</w:p>
    <w:p w14:paraId="37B7D042" w14:textId="77777777"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A29F95" w14:textId="77777777" w:rsidR="00365860" w:rsidRDefault="00365860" w:rsidP="00365860">
      <w:r>
        <w:separator/>
      </w:r>
    </w:p>
  </w:endnote>
  <w:endnote w:type="continuationSeparator" w:id="0">
    <w:p w14:paraId="19F50699" w14:textId="77777777" w:rsidR="00365860" w:rsidRDefault="00365860" w:rsidP="00365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AA8DC3" w14:textId="77777777" w:rsidR="00365860" w:rsidRDefault="00365860" w:rsidP="00365860">
      <w:r>
        <w:separator/>
      </w:r>
    </w:p>
  </w:footnote>
  <w:footnote w:type="continuationSeparator" w:id="0">
    <w:p w14:paraId="094D7F28" w14:textId="77777777" w:rsidR="00365860" w:rsidRDefault="00365860" w:rsidP="00365860">
      <w:r>
        <w:continuationSeparator/>
      </w:r>
    </w:p>
  </w:footnote>
  <w:footnote w:id="1">
    <w:p w14:paraId="0B1B6BA5" w14:textId="77777777" w:rsidR="00365860" w:rsidRDefault="00365860" w:rsidP="0036586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>Edito</w:t>
      </w:r>
      <w:proofErr w:type="gramEnd"/>
      <w:r>
        <w:t xml:space="preserve"> da Raffello Cortina Editore.</w:t>
      </w:r>
    </w:p>
  </w:footnote>
  <w:footnote w:id="2">
    <w:p w14:paraId="35FD4707" w14:textId="77777777" w:rsidR="00365860" w:rsidRDefault="00365860" w:rsidP="00365860">
      <w:pPr>
        <w:pStyle w:val="Testonotaapidipagina"/>
      </w:pPr>
      <w:r>
        <w:rPr>
          <w:rStyle w:val="Rimandonotaapidipagina"/>
        </w:rPr>
        <w:footnoteRef/>
      </w:r>
      <w:r>
        <w:t xml:space="preserve"> Fonte: </w:t>
      </w:r>
      <w:hyperlink r:id="rId1" w:history="1">
        <w:r w:rsidRPr="001E6480">
          <w:rPr>
            <w:rStyle w:val="Collegamentoipertestuale"/>
          </w:rPr>
          <w:t>www.astd.org</w:t>
        </w:r>
      </w:hyperlink>
      <w:r>
        <w:t xml:space="preserve"> </w:t>
      </w:r>
    </w:p>
  </w:footnote>
  <w:footnote w:id="3">
    <w:p w14:paraId="509A96D9" w14:textId="77777777" w:rsidR="00365860" w:rsidRDefault="00365860" w:rsidP="00365860">
      <w:pPr>
        <w:pStyle w:val="Testonotaapidipagina"/>
      </w:pPr>
      <w:r>
        <w:rPr>
          <w:rStyle w:val="Rimandonotaapidipagina"/>
        </w:rPr>
        <w:footnoteRef/>
      </w:r>
      <w:r>
        <w:t xml:space="preserve"> Fonte: </w:t>
      </w:r>
      <w:hyperlink r:id="rId2" w:history="1">
        <w:r w:rsidRPr="001E6480">
          <w:rPr>
            <w:rStyle w:val="Collegamentoipertestuale"/>
          </w:rPr>
          <w:t>www.corpu.com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45F9C"/>
    <w:multiLevelType w:val="hybridMultilevel"/>
    <w:tmpl w:val="576A1782"/>
    <w:lvl w:ilvl="0" w:tplc="6AAE0B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1512FF4"/>
    <w:multiLevelType w:val="hybridMultilevel"/>
    <w:tmpl w:val="C7C4345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004B5E"/>
    <w:multiLevelType w:val="hybridMultilevel"/>
    <w:tmpl w:val="46B281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DA1756"/>
    <w:multiLevelType w:val="hybridMultilevel"/>
    <w:tmpl w:val="F6D01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E27D6D"/>
    <w:multiLevelType w:val="hybridMultilevel"/>
    <w:tmpl w:val="19F4EAC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725042"/>
    <w:multiLevelType w:val="hybridMultilevel"/>
    <w:tmpl w:val="64162D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860"/>
    <w:rsid w:val="00365860"/>
    <w:rsid w:val="005D4D62"/>
    <w:rsid w:val="007E2BA9"/>
    <w:rsid w:val="00BC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42690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860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365860"/>
    <w:pPr>
      <w:spacing w:before="100" w:beforeAutospacing="1" w:after="100" w:afterAutospacing="1"/>
    </w:pPr>
  </w:style>
  <w:style w:type="character" w:styleId="Collegamentoipertestuale">
    <w:name w:val="Hyperlink"/>
    <w:rsid w:val="003658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365860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365860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365860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86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6586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5860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365860"/>
    <w:pPr>
      <w:spacing w:before="100" w:beforeAutospacing="1" w:after="100" w:afterAutospacing="1"/>
    </w:pPr>
  </w:style>
  <w:style w:type="character" w:styleId="Collegamentoipertestuale">
    <w:name w:val="Hyperlink"/>
    <w:rsid w:val="00365860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365860"/>
    <w:rPr>
      <w:sz w:val="20"/>
      <w:szCs w:val="20"/>
    </w:rPr>
  </w:style>
  <w:style w:type="character" w:customStyle="1" w:styleId="TestonotaapidipaginaCarattere">
    <w:name w:val="Testo nota a piè di pagina Carattere"/>
    <w:basedOn w:val="Caratterepredefinitoparagrafo"/>
    <w:link w:val="Testonotaapidipagina"/>
    <w:semiHidden/>
    <w:rsid w:val="00365860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semiHidden/>
    <w:rsid w:val="00365860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586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36586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std.org" TargetMode="External"/><Relationship Id="rId2" Type="http://schemas.openxmlformats.org/officeDocument/2006/relationships/hyperlink" Target="http://www.corpu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896</Words>
  <Characters>5110</Characters>
  <Application>Microsoft Macintosh Word</Application>
  <DocSecurity>0</DocSecurity>
  <Lines>42</Lines>
  <Paragraphs>11</Paragraphs>
  <ScaleCrop>false</ScaleCrop>
  <Company/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4</cp:revision>
  <dcterms:created xsi:type="dcterms:W3CDTF">2014-03-10T13:41:00Z</dcterms:created>
  <dcterms:modified xsi:type="dcterms:W3CDTF">2014-03-10T13:50:00Z</dcterms:modified>
</cp:coreProperties>
</file>