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b/>
          <w:sz w:val="24"/>
          <w:szCs w:val="24"/>
          <w:u w:val="single"/>
        </w:rPr>
      </w:pPr>
      <w:bookmarkStart w:id="0" w:name="_GoBack"/>
      <w:bookmarkEnd w:id="0"/>
      <w:r w:rsidRPr="009909F2">
        <w:rPr>
          <w:rFonts w:ascii="Verdana" w:hAnsi="Verdana" w:cs="Tahoma"/>
          <w:b/>
          <w:sz w:val="24"/>
          <w:szCs w:val="24"/>
          <w:u w:val="single"/>
        </w:rPr>
        <w:t xml:space="preserve">Dal costo all'investimento: Roi del seminario </w:t>
      </w:r>
      <w:r w:rsidRPr="009909F2">
        <w:rPr>
          <w:rFonts w:ascii="Verdana" w:hAnsi="Verdana" w:cs="Tahoma"/>
          <w:b/>
          <w:i/>
          <w:iCs/>
          <w:sz w:val="24"/>
          <w:szCs w:val="24"/>
          <w:u w:val="single"/>
        </w:rPr>
        <w:t>Leggere e capire velocemente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 xml:space="preserve">Calcolare il Roi della formazione è spesso complesso e piuttosto difficile. Poiché il seminario </w:t>
      </w:r>
      <w:r w:rsidRPr="009909F2">
        <w:rPr>
          <w:rFonts w:ascii="Verdana" w:hAnsi="Verdana" w:cs="Tahoma"/>
          <w:i/>
          <w:iCs/>
          <w:sz w:val="24"/>
          <w:szCs w:val="24"/>
        </w:rPr>
        <w:t>Leggere e capire velocemente</w:t>
      </w:r>
      <w:r w:rsidRPr="009909F2">
        <w:rPr>
          <w:rFonts w:ascii="Verdana" w:hAnsi="Verdana" w:cs="Tahoma"/>
          <w:sz w:val="24"/>
          <w:szCs w:val="24"/>
        </w:rPr>
        <w:t xml:space="preserve"> prevede l’acquisizione di abilità tecniche misurate attraverso appositi test, è possibile calcolarne il ROI. 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 xml:space="preserve">Il seminario </w:t>
      </w:r>
      <w:r w:rsidRPr="009909F2">
        <w:rPr>
          <w:rFonts w:ascii="Verdana" w:hAnsi="Verdana" w:cs="Tahoma"/>
          <w:i/>
          <w:iCs/>
          <w:sz w:val="24"/>
          <w:szCs w:val="24"/>
        </w:rPr>
        <w:t>Leggere e capire velocemente</w:t>
      </w:r>
      <w:r w:rsidRPr="009909F2">
        <w:rPr>
          <w:rFonts w:ascii="Verdana" w:hAnsi="Verdana" w:cs="Tahoma"/>
          <w:sz w:val="24"/>
          <w:szCs w:val="24"/>
        </w:rPr>
        <w:t xml:space="preserve"> ha uno dei  più alti R.O.I. (Return On Investment) della formazione. 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 xml:space="preserve">Secondo le statistiche (fonte: Harvard Business Review) un lavoratore dipendente investe mediamente 3 ore al giorno nella lettura di materiali vari (report, documenti, riviste, libri, testi in internet, e-mail, ecc.). Dopo aver partecipato al corso,  la velocità e la comprensione vengono in media raddoppiate, ottenendo un  coefficiente di lettura quadruplicato. 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>A partire da questi dati, è dunque possibile calcolare il risparmio di tempo dedicato alla lettura in un anno e, di conseguenza, tradurre il risparmio temporale in risparmio monetario.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>Di seguito verrà proposto il calcolo del ROI a partire da parametri validi per la media dei lavoratori dipendenti in Italia. In ogni caso, la struttura del calcolo è adattabile alle singole esigenze.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tbl>
      <w:tblPr>
        <w:tblW w:w="8748" w:type="dxa"/>
        <w:tblBorders>
          <w:top w:val="triple" w:sz="6" w:space="0" w:color="FFFFFF"/>
          <w:left w:val="triple" w:sz="6" w:space="0" w:color="FFFFFF"/>
          <w:bottom w:val="triple" w:sz="6" w:space="0" w:color="FFFFFF"/>
          <w:right w:val="triple" w:sz="6" w:space="0" w:color="FFFFFF"/>
          <w:insideH w:val="triple" w:sz="6" w:space="0" w:color="FFFFFF"/>
          <w:insideV w:val="triple" w:sz="6" w:space="0" w:color="FFFFFF"/>
        </w:tblBorders>
        <w:tblLook w:val="01E0" w:firstRow="1" w:lastRow="1" w:firstColumn="1" w:lastColumn="1" w:noHBand="0" w:noVBand="0"/>
      </w:tblPr>
      <w:tblGrid>
        <w:gridCol w:w="4693"/>
        <w:gridCol w:w="4055"/>
      </w:tblGrid>
      <w:tr w:rsidR="009909F2" w:rsidRPr="009909F2" w:rsidTr="003A4F32">
        <w:trPr>
          <w:trHeight w:val="906"/>
        </w:trPr>
        <w:tc>
          <w:tcPr>
            <w:tcW w:w="4693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  <w:r w:rsidRPr="009909F2">
              <w:rPr>
                <w:rFonts w:ascii="Verdana" w:hAnsi="Verdana" w:cs="Tahoma"/>
                <w:b/>
                <w:sz w:val="24"/>
                <w:szCs w:val="24"/>
              </w:rPr>
              <w:t>Giornate lavorative in 1 anno</w:t>
            </w:r>
          </w:p>
        </w:tc>
        <w:tc>
          <w:tcPr>
            <w:tcW w:w="4055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220 gg</w:t>
            </w:r>
          </w:p>
        </w:tc>
      </w:tr>
      <w:tr w:rsidR="009909F2" w:rsidRPr="009909F2" w:rsidTr="003A4F32">
        <w:trPr>
          <w:trHeight w:val="906"/>
        </w:trPr>
        <w:tc>
          <w:tcPr>
            <w:tcW w:w="4693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  <w:r w:rsidRPr="009909F2">
              <w:rPr>
                <w:rFonts w:ascii="Verdana" w:hAnsi="Verdana" w:cs="Tahoma"/>
                <w:b/>
                <w:sz w:val="24"/>
                <w:szCs w:val="24"/>
              </w:rPr>
              <w:t>Ore di lettura al giorno</w:t>
            </w:r>
          </w:p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(fonte: Harvard Business Review)</w:t>
            </w:r>
          </w:p>
        </w:tc>
        <w:tc>
          <w:tcPr>
            <w:tcW w:w="4055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3 h</w:t>
            </w:r>
          </w:p>
        </w:tc>
      </w:tr>
      <w:tr w:rsidR="009909F2" w:rsidRPr="009909F2" w:rsidTr="003A4F32">
        <w:trPr>
          <w:trHeight w:val="906"/>
        </w:trPr>
        <w:tc>
          <w:tcPr>
            <w:tcW w:w="4693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  <w:r w:rsidRPr="009909F2">
              <w:rPr>
                <w:rFonts w:ascii="Verdana" w:hAnsi="Verdana" w:cs="Tahoma"/>
                <w:b/>
                <w:sz w:val="24"/>
                <w:szCs w:val="24"/>
              </w:rPr>
              <w:t>Tot. ore di lettura in 1 anno</w:t>
            </w:r>
          </w:p>
        </w:tc>
        <w:tc>
          <w:tcPr>
            <w:tcW w:w="4055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660 h (= 220 gg x 3 h)</w:t>
            </w:r>
          </w:p>
        </w:tc>
      </w:tr>
    </w:tbl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lastRenderedPageBreak/>
        <w:t>Nel caso di un allievo che arrivi a raddoppiare la velocità  (tralasciamo in questo momento l’incremento di comprensione per noi ancora più importante), il risparmio di tempo e denaro è così quantificabile: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tbl>
      <w:tblPr>
        <w:tblW w:w="8748" w:type="dxa"/>
        <w:tblBorders>
          <w:top w:val="triple" w:sz="6" w:space="0" w:color="FFFFFF"/>
          <w:left w:val="triple" w:sz="6" w:space="0" w:color="FFFFFF"/>
          <w:bottom w:val="triple" w:sz="6" w:space="0" w:color="FFFFFF"/>
          <w:right w:val="triple" w:sz="6" w:space="0" w:color="FFFFFF"/>
          <w:insideH w:val="triple" w:sz="6" w:space="0" w:color="FFFFFF"/>
          <w:insideV w:val="triple" w:sz="6" w:space="0" w:color="FFFFFF"/>
        </w:tblBorders>
        <w:tblLook w:val="01E0" w:firstRow="1" w:lastRow="1" w:firstColumn="1" w:lastColumn="1" w:noHBand="0" w:noVBand="0"/>
      </w:tblPr>
      <w:tblGrid>
        <w:gridCol w:w="4693"/>
        <w:gridCol w:w="4055"/>
      </w:tblGrid>
      <w:tr w:rsidR="009909F2" w:rsidRPr="009909F2" w:rsidTr="003A4F32">
        <w:trPr>
          <w:trHeight w:val="906"/>
        </w:trPr>
        <w:tc>
          <w:tcPr>
            <w:tcW w:w="4693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  <w:r w:rsidRPr="009909F2">
              <w:rPr>
                <w:rFonts w:ascii="Verdana" w:hAnsi="Verdana" w:cs="Tahoma"/>
                <w:b/>
                <w:sz w:val="24"/>
                <w:szCs w:val="24"/>
              </w:rPr>
              <w:t>Risparmio ore di lettura in 1 anno</w:t>
            </w:r>
          </w:p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(tempo di lettura dimezzato)</w:t>
            </w:r>
          </w:p>
        </w:tc>
        <w:tc>
          <w:tcPr>
            <w:tcW w:w="4055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330 h</w:t>
            </w:r>
          </w:p>
        </w:tc>
      </w:tr>
      <w:tr w:rsidR="009909F2" w:rsidRPr="009909F2" w:rsidTr="003A4F32">
        <w:trPr>
          <w:trHeight w:val="906"/>
        </w:trPr>
        <w:tc>
          <w:tcPr>
            <w:tcW w:w="4693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  <w:r w:rsidRPr="009909F2">
              <w:rPr>
                <w:rFonts w:ascii="Verdana" w:hAnsi="Verdana" w:cs="Tahoma"/>
                <w:b/>
                <w:sz w:val="24"/>
                <w:szCs w:val="24"/>
              </w:rPr>
              <w:t>Costo orario medio lordo lavoratore dipendente in Italia</w:t>
            </w:r>
          </w:p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(fonte: Ministero del Lavoro)</w:t>
            </w:r>
          </w:p>
        </w:tc>
        <w:tc>
          <w:tcPr>
            <w:tcW w:w="4055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15 €</w:t>
            </w:r>
          </w:p>
        </w:tc>
      </w:tr>
      <w:tr w:rsidR="009909F2" w:rsidRPr="009909F2" w:rsidTr="003A4F32">
        <w:trPr>
          <w:trHeight w:val="906"/>
        </w:trPr>
        <w:tc>
          <w:tcPr>
            <w:tcW w:w="4693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b/>
                <w:sz w:val="24"/>
                <w:szCs w:val="24"/>
              </w:rPr>
            </w:pPr>
            <w:r w:rsidRPr="009909F2">
              <w:rPr>
                <w:rFonts w:ascii="Verdana" w:hAnsi="Verdana" w:cs="Tahoma"/>
                <w:b/>
                <w:sz w:val="24"/>
                <w:szCs w:val="24"/>
              </w:rPr>
              <w:t>Risparmio annuo in €</w:t>
            </w:r>
          </w:p>
        </w:tc>
        <w:tc>
          <w:tcPr>
            <w:tcW w:w="4055" w:type="dxa"/>
            <w:shd w:val="clear" w:color="auto" w:fill="CCFFFF"/>
          </w:tcPr>
          <w:p w:rsidR="009909F2" w:rsidRPr="009909F2" w:rsidRDefault="009909F2" w:rsidP="009909F2">
            <w:pPr>
              <w:spacing w:line="360" w:lineRule="auto"/>
              <w:jc w:val="both"/>
              <w:rPr>
                <w:rFonts w:ascii="Verdana" w:hAnsi="Verdana" w:cs="Tahoma"/>
                <w:sz w:val="24"/>
                <w:szCs w:val="24"/>
              </w:rPr>
            </w:pPr>
            <w:r w:rsidRPr="009909F2">
              <w:rPr>
                <w:rFonts w:ascii="Verdana" w:hAnsi="Verdana" w:cs="Tahoma"/>
                <w:sz w:val="24"/>
                <w:szCs w:val="24"/>
              </w:rPr>
              <w:t>4.950 € (= 330 h x 15 €)</w:t>
            </w:r>
          </w:p>
        </w:tc>
      </w:tr>
    </w:tbl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 xml:space="preserve"> </w:t>
      </w:r>
    </w:p>
    <w:p w:rsid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>Sulla base di questi dati, è possibile dedurre il ROI del corso: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F82D53" wp14:editId="7FEF9BCB">
                <wp:simplePos x="0" y="0"/>
                <wp:positionH relativeFrom="column">
                  <wp:posOffset>851535</wp:posOffset>
                </wp:positionH>
                <wp:positionV relativeFrom="paragraph">
                  <wp:posOffset>298450</wp:posOffset>
                </wp:positionV>
                <wp:extent cx="3429000" cy="0"/>
                <wp:effectExtent l="13335" t="12065" r="5715" b="6985"/>
                <wp:wrapNone/>
                <wp:docPr id="1" name="Connettore 1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05pt,23.5pt" to="337.0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"/>
            </w:pict>
          </mc:Fallback>
        </mc:AlternateContent>
      </w:r>
      <w:r w:rsidRPr="009909F2">
        <w:rPr>
          <w:rFonts w:ascii="Verdana" w:hAnsi="Verdana" w:cs="Tahoma"/>
          <w:sz w:val="24"/>
          <w:szCs w:val="24"/>
        </w:rPr>
        <w:t>ROI =      Risparmio € - Investimento €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ab/>
      </w:r>
      <w:r w:rsidRPr="009909F2">
        <w:rPr>
          <w:rFonts w:ascii="Verdana" w:hAnsi="Verdana" w:cs="Tahoma"/>
          <w:sz w:val="24"/>
          <w:szCs w:val="24"/>
        </w:rPr>
        <w:tab/>
      </w:r>
      <w:r w:rsidRPr="009909F2">
        <w:rPr>
          <w:rFonts w:ascii="Verdana" w:hAnsi="Verdana" w:cs="Tahoma"/>
          <w:sz w:val="24"/>
          <w:szCs w:val="24"/>
        </w:rPr>
        <w:tab/>
        <w:t xml:space="preserve"> Investimento €</w:t>
      </w: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9909F2" w:rsidRPr="009909F2" w:rsidRDefault="009909F2" w:rsidP="009909F2">
      <w:pPr>
        <w:spacing w:line="360" w:lineRule="auto"/>
        <w:jc w:val="both"/>
        <w:rPr>
          <w:rFonts w:ascii="Verdana" w:hAnsi="Verdana" w:cs="Tahoma"/>
          <w:sz w:val="24"/>
          <w:szCs w:val="24"/>
        </w:rPr>
      </w:pPr>
    </w:p>
    <w:p w:rsidR="00741B4C" w:rsidRPr="009909F2" w:rsidRDefault="009909F2" w:rsidP="009909F2">
      <w:pPr>
        <w:jc w:val="both"/>
        <w:rPr>
          <w:sz w:val="24"/>
          <w:szCs w:val="24"/>
        </w:rPr>
      </w:pPr>
      <w:r w:rsidRPr="009909F2">
        <w:rPr>
          <w:rFonts w:ascii="Verdana" w:hAnsi="Verdana" w:cs="Tahoma"/>
          <w:sz w:val="24"/>
          <w:szCs w:val="24"/>
        </w:rPr>
        <w:t xml:space="preserve">In proporzione al costo del corso (investimento variabile a seconda che si tratti di un seminario aziendale o aperto) e considerando il Total Costo of Training (costo delle risorse in formazione), abbiamo calcolato che il ROI del seminario </w:t>
      </w:r>
      <w:r w:rsidRPr="009909F2">
        <w:rPr>
          <w:rFonts w:ascii="Verdana" w:hAnsi="Verdana" w:cs="Tahoma"/>
          <w:i/>
          <w:iCs/>
          <w:sz w:val="24"/>
          <w:szCs w:val="24"/>
        </w:rPr>
        <w:t>Leggere e capire velocemente</w:t>
      </w:r>
      <w:r w:rsidRPr="009909F2">
        <w:rPr>
          <w:rFonts w:ascii="Verdana" w:hAnsi="Verdana" w:cs="Tahoma"/>
          <w:sz w:val="24"/>
          <w:szCs w:val="24"/>
        </w:rPr>
        <w:t xml:space="preserve"> è di circa </w:t>
      </w:r>
      <w:r w:rsidRPr="009909F2">
        <w:rPr>
          <w:rFonts w:ascii="Verdana" w:hAnsi="Verdana" w:cs="Tahoma"/>
          <w:b/>
          <w:sz w:val="24"/>
          <w:szCs w:val="24"/>
        </w:rPr>
        <w:t>551%.</w:t>
      </w:r>
    </w:p>
    <w:sectPr w:rsidR="00741B4C" w:rsidRPr="009909F2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E9A" w:rsidRDefault="00C11E9A" w:rsidP="000A24DD">
      <w:r>
        <w:separator/>
      </w:r>
    </w:p>
  </w:endnote>
  <w:endnote w:type="continuationSeparator" w:id="0">
    <w:p w:rsidR="00C11E9A" w:rsidRDefault="00C11E9A" w:rsidP="000A2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E9A" w:rsidRDefault="00C11E9A" w:rsidP="000A24DD">
      <w:r>
        <w:separator/>
      </w:r>
    </w:p>
  </w:footnote>
  <w:footnote w:type="continuationSeparator" w:id="0">
    <w:p w:rsidR="00C11E9A" w:rsidRDefault="00C11E9A" w:rsidP="000A24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4DD" w:rsidRDefault="000A24DD">
    <w:pPr>
      <w:pStyle w:val="Intestazione"/>
    </w:pPr>
    <w:r>
      <w:t>Creattività srl</w:t>
    </w:r>
  </w:p>
  <w:p w:rsidR="000A24DD" w:rsidRDefault="000A24D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9F2"/>
    <w:rsid w:val="000A24DD"/>
    <w:rsid w:val="00741B4C"/>
    <w:rsid w:val="0099039E"/>
    <w:rsid w:val="009909F2"/>
    <w:rsid w:val="00C11E9A"/>
    <w:rsid w:val="00CE0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0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A24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24D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24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4D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24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24DD"/>
    <w:rPr>
      <w:rFonts w:ascii="Tahoma" w:eastAsia="Times New Roman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90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A24D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24D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24D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4D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24D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24DD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1845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</dc:creator>
  <cp:lastModifiedBy>massimo</cp:lastModifiedBy>
  <cp:revision>2</cp:revision>
  <dcterms:created xsi:type="dcterms:W3CDTF">2012-06-26T09:57:00Z</dcterms:created>
  <dcterms:modified xsi:type="dcterms:W3CDTF">2012-06-26T09:57:00Z</dcterms:modified>
</cp:coreProperties>
</file>